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2F9A18" w14:textId="77777777" w:rsidR="002318D9" w:rsidRPr="00026C22" w:rsidRDefault="002318D9" w:rsidP="00737E8B">
      <w:pPr>
        <w:jc w:val="center"/>
        <w:rPr>
          <w:rFonts w:ascii="Arial" w:hAnsi="Arial" w:cs="Arial"/>
          <w:b/>
          <w:bCs/>
          <w:color w:val="1F497D" w:themeColor="text2"/>
          <w:sz w:val="8"/>
          <w:szCs w:val="8"/>
        </w:rPr>
      </w:pPr>
      <w:bookmarkStart w:id="0" w:name="_GoBack"/>
      <w:bookmarkEnd w:id="0"/>
    </w:p>
    <w:p w14:paraId="342F9A19" w14:textId="77777777" w:rsidR="00E45880" w:rsidRPr="00257773" w:rsidRDefault="00A2411C" w:rsidP="00E45880">
      <w:pPr>
        <w:spacing w:before="120"/>
        <w:rPr>
          <w:rFonts w:asciiTheme="minorHAnsi" w:hAnsiTheme="minorHAnsi" w:cs="Arial"/>
          <w:b/>
          <w:bCs/>
          <w:color w:val="1F497D" w:themeColor="text2"/>
          <w:sz w:val="28"/>
          <w:szCs w:val="28"/>
        </w:rPr>
      </w:pPr>
      <w:r w:rsidRPr="00257773">
        <w:rPr>
          <w:rFonts w:asciiTheme="minorHAnsi" w:hAnsiTheme="minorHAnsi" w:cs="Arial"/>
          <w:b/>
          <w:bCs/>
          <w:color w:val="1F497D" w:themeColor="text2"/>
          <w:sz w:val="28"/>
          <w:szCs w:val="28"/>
        </w:rPr>
        <w:t>Tender Exemption</w:t>
      </w:r>
      <w:r w:rsidR="000A6D2A" w:rsidRPr="00257773">
        <w:rPr>
          <w:rFonts w:asciiTheme="minorHAnsi" w:hAnsiTheme="minorHAnsi" w:cs="Arial"/>
          <w:b/>
          <w:bCs/>
          <w:color w:val="1F497D" w:themeColor="text2"/>
          <w:sz w:val="28"/>
          <w:szCs w:val="28"/>
        </w:rPr>
        <w:t xml:space="preserve"> Guidance Notes</w:t>
      </w:r>
    </w:p>
    <w:p w14:paraId="342F9A1A" w14:textId="77777777" w:rsidR="009E5A34" w:rsidRPr="00257773" w:rsidRDefault="009E5A34" w:rsidP="00A85AAF">
      <w:pPr>
        <w:rPr>
          <w:rFonts w:asciiTheme="minorHAnsi" w:hAnsiTheme="minorHAnsi" w:cs="Arial"/>
          <w:bCs/>
          <w:color w:val="1F497D" w:themeColor="text2"/>
          <w:sz w:val="6"/>
          <w:szCs w:val="6"/>
        </w:rPr>
      </w:pPr>
    </w:p>
    <w:p w14:paraId="342F9A1B" w14:textId="77777777" w:rsidR="00DE33D8" w:rsidRPr="00257773" w:rsidRDefault="00DE33D8" w:rsidP="007A5204">
      <w:pPr>
        <w:rPr>
          <w:rFonts w:asciiTheme="minorHAnsi" w:hAnsiTheme="minorHAnsi" w:cs="Arial"/>
          <w:bCs/>
          <w:color w:val="1F497D" w:themeColor="text2"/>
          <w:sz w:val="22"/>
          <w:szCs w:val="22"/>
        </w:rPr>
      </w:pPr>
      <w:r w:rsidRPr="00257773">
        <w:rPr>
          <w:rFonts w:asciiTheme="minorHAnsi" w:hAnsiTheme="minorHAnsi" w:cs="Arial"/>
          <w:bCs/>
          <w:color w:val="1F497D" w:themeColor="text2"/>
          <w:sz w:val="22"/>
          <w:szCs w:val="22"/>
        </w:rPr>
        <w:t>To be read in conjunction with</w:t>
      </w:r>
      <w:r w:rsidR="00AE71C7" w:rsidRPr="00257773">
        <w:rPr>
          <w:rFonts w:asciiTheme="minorHAnsi" w:hAnsiTheme="minorHAnsi" w:cs="Arial"/>
          <w:bCs/>
          <w:color w:val="1F497D" w:themeColor="text2"/>
          <w:sz w:val="22"/>
          <w:szCs w:val="22"/>
        </w:rPr>
        <w:t xml:space="preserve"> the</w:t>
      </w:r>
      <w:r w:rsidRPr="00257773">
        <w:rPr>
          <w:rFonts w:asciiTheme="minorHAnsi" w:hAnsiTheme="minorHAnsi" w:cs="Arial"/>
          <w:bCs/>
          <w:color w:val="1F497D" w:themeColor="text2"/>
          <w:sz w:val="22"/>
          <w:szCs w:val="22"/>
        </w:rPr>
        <w:t xml:space="preserve"> </w:t>
      </w:r>
      <w:hyperlink r:id="rId11" w:history="1">
        <w:r w:rsidR="00E04F21" w:rsidRPr="00DA37CB">
          <w:rPr>
            <w:rStyle w:val="Hyperlink"/>
            <w:rFonts w:asciiTheme="minorHAnsi" w:hAnsiTheme="minorHAnsi" w:cs="Arial"/>
            <w:bCs/>
            <w:sz w:val="22"/>
            <w:szCs w:val="22"/>
          </w:rPr>
          <w:t>Tender Exemption</w:t>
        </w:r>
        <w:r w:rsidR="00792639" w:rsidRPr="00DA37CB">
          <w:rPr>
            <w:rStyle w:val="Hyperlink"/>
            <w:rFonts w:asciiTheme="minorHAnsi" w:hAnsiTheme="minorHAnsi" w:cs="Arial"/>
            <w:bCs/>
            <w:sz w:val="22"/>
            <w:szCs w:val="22"/>
          </w:rPr>
          <w:t xml:space="preserve"> Request</w:t>
        </w:r>
        <w:r w:rsidRPr="00DA37CB">
          <w:rPr>
            <w:rStyle w:val="Hyperlink"/>
            <w:rFonts w:asciiTheme="minorHAnsi" w:hAnsiTheme="minorHAnsi" w:cs="Arial"/>
            <w:bCs/>
            <w:sz w:val="22"/>
            <w:szCs w:val="22"/>
          </w:rPr>
          <w:t xml:space="preserve"> </w:t>
        </w:r>
        <w:r w:rsidR="00DE6626" w:rsidRPr="00DA37CB">
          <w:rPr>
            <w:rStyle w:val="Hyperlink"/>
            <w:rFonts w:asciiTheme="minorHAnsi" w:hAnsiTheme="minorHAnsi" w:cs="Arial"/>
            <w:bCs/>
            <w:sz w:val="22"/>
            <w:szCs w:val="22"/>
          </w:rPr>
          <w:t>Form</w:t>
        </w:r>
      </w:hyperlink>
      <w:r w:rsidR="006B3AAE">
        <w:rPr>
          <w:rFonts w:asciiTheme="minorHAnsi" w:hAnsiTheme="minorHAnsi" w:cs="Arial"/>
          <w:bCs/>
          <w:color w:val="1F497D" w:themeColor="text2"/>
          <w:sz w:val="22"/>
          <w:szCs w:val="22"/>
        </w:rPr>
        <w:t>.</w:t>
      </w:r>
      <w:r w:rsidR="00DE6626" w:rsidRPr="00257773">
        <w:rPr>
          <w:rFonts w:asciiTheme="minorHAnsi" w:hAnsiTheme="minorHAnsi" w:cs="Arial"/>
          <w:bCs/>
          <w:color w:val="1F497D" w:themeColor="text2"/>
          <w:sz w:val="22"/>
          <w:szCs w:val="22"/>
        </w:rPr>
        <w:t xml:space="preserve"> </w:t>
      </w:r>
    </w:p>
    <w:p w14:paraId="342F9A1C" w14:textId="77777777" w:rsidR="00086B02" w:rsidRPr="007A5204" w:rsidRDefault="00086B02" w:rsidP="00086B02">
      <w:pPr>
        <w:pStyle w:val="NormalWeb"/>
        <w:spacing w:before="0" w:beforeAutospacing="0" w:after="0" w:afterAutospacing="0"/>
        <w:rPr>
          <w:rFonts w:asciiTheme="minorHAnsi" w:hAnsiTheme="minorHAnsi" w:cs="Arial"/>
          <w:color w:val="1F497D" w:themeColor="text2"/>
          <w:sz w:val="22"/>
          <w:szCs w:val="22"/>
        </w:rPr>
      </w:pPr>
    </w:p>
    <w:p w14:paraId="342F9A1D" w14:textId="77777777" w:rsidR="009C5E90" w:rsidRPr="00257773" w:rsidRDefault="009C5E90" w:rsidP="009C5E90">
      <w:pPr>
        <w:pStyle w:val="NormalWeb"/>
        <w:spacing w:before="0" w:beforeAutospacing="0" w:after="120" w:afterAutospacing="0"/>
        <w:rPr>
          <w:rFonts w:asciiTheme="minorHAnsi" w:hAnsiTheme="minorHAnsi" w:cs="Arial"/>
          <w:b/>
          <w:color w:val="1F497D" w:themeColor="text2"/>
          <w:sz w:val="22"/>
          <w:szCs w:val="22"/>
        </w:rPr>
      </w:pPr>
      <w:r w:rsidRPr="00257773">
        <w:rPr>
          <w:rFonts w:asciiTheme="minorHAnsi" w:hAnsiTheme="minorHAnsi" w:cs="Arial"/>
          <w:b/>
          <w:color w:val="1F497D" w:themeColor="text2"/>
          <w:sz w:val="22"/>
          <w:szCs w:val="22"/>
        </w:rPr>
        <w:t>Whe</w:t>
      </w:r>
      <w:r w:rsidR="00A8782D">
        <w:rPr>
          <w:rFonts w:asciiTheme="minorHAnsi" w:hAnsiTheme="minorHAnsi" w:cs="Arial"/>
          <w:b/>
          <w:color w:val="1F497D" w:themeColor="text2"/>
          <w:sz w:val="22"/>
          <w:szCs w:val="22"/>
        </w:rPr>
        <w:t>n</w:t>
      </w:r>
      <w:r w:rsidRPr="00257773">
        <w:rPr>
          <w:rFonts w:asciiTheme="minorHAnsi" w:hAnsiTheme="minorHAnsi" w:cs="Arial"/>
          <w:b/>
          <w:color w:val="1F497D" w:themeColor="text2"/>
          <w:sz w:val="22"/>
          <w:szCs w:val="22"/>
        </w:rPr>
        <w:t xml:space="preserve"> an exemption may apply</w:t>
      </w:r>
    </w:p>
    <w:p w14:paraId="342F9A1E" w14:textId="77777777" w:rsidR="001B3B6E" w:rsidRPr="00257773" w:rsidRDefault="000A6D2A" w:rsidP="00086B02">
      <w:pPr>
        <w:pStyle w:val="NormalWeb"/>
        <w:spacing w:before="0" w:beforeAutospacing="0" w:after="0" w:afterAutospacing="0"/>
        <w:rPr>
          <w:rFonts w:asciiTheme="minorHAnsi" w:hAnsiTheme="minorHAnsi" w:cs="Arial"/>
          <w:color w:val="1F497D" w:themeColor="text2"/>
          <w:sz w:val="22"/>
          <w:szCs w:val="22"/>
        </w:rPr>
      </w:pPr>
      <w:r w:rsidRPr="00257773">
        <w:rPr>
          <w:rFonts w:asciiTheme="minorHAnsi" w:hAnsiTheme="minorHAnsi" w:cs="Arial"/>
          <w:color w:val="1F497D" w:themeColor="text2"/>
          <w:sz w:val="22"/>
          <w:szCs w:val="22"/>
        </w:rPr>
        <w:t xml:space="preserve">In </w:t>
      </w:r>
      <w:r w:rsidRPr="00AA4F1F">
        <w:rPr>
          <w:rFonts w:asciiTheme="minorHAnsi" w:hAnsiTheme="minorHAnsi" w:cs="Arial"/>
          <w:color w:val="1F497D" w:themeColor="text2"/>
          <w:sz w:val="22"/>
          <w:szCs w:val="22"/>
          <w:u w:val="single"/>
        </w:rPr>
        <w:t>exceptional</w:t>
      </w:r>
      <w:r w:rsidRPr="00F364C0">
        <w:rPr>
          <w:rFonts w:asciiTheme="minorHAnsi" w:hAnsiTheme="minorHAnsi" w:cs="Arial"/>
          <w:color w:val="1F497D" w:themeColor="text2"/>
          <w:sz w:val="22"/>
          <w:szCs w:val="22"/>
        </w:rPr>
        <w:t xml:space="preserve"> </w:t>
      </w:r>
      <w:r w:rsidRPr="00257773">
        <w:rPr>
          <w:rFonts w:asciiTheme="minorHAnsi" w:hAnsiTheme="minorHAnsi" w:cs="Arial"/>
          <w:color w:val="1F497D" w:themeColor="text2"/>
          <w:sz w:val="22"/>
          <w:szCs w:val="22"/>
        </w:rPr>
        <w:t>circumstances,</w:t>
      </w:r>
      <w:r w:rsidR="00895C26" w:rsidRPr="00257773">
        <w:rPr>
          <w:rFonts w:asciiTheme="minorHAnsi" w:hAnsiTheme="minorHAnsi" w:cs="Arial"/>
          <w:color w:val="1F497D" w:themeColor="text2"/>
          <w:sz w:val="22"/>
          <w:szCs w:val="22"/>
        </w:rPr>
        <w:t xml:space="preserve"> it</w:t>
      </w:r>
      <w:r w:rsidR="00461A0C" w:rsidRPr="00257773">
        <w:rPr>
          <w:rFonts w:asciiTheme="minorHAnsi" w:hAnsiTheme="minorHAnsi" w:cs="Arial"/>
          <w:color w:val="1F497D" w:themeColor="text2"/>
          <w:sz w:val="22"/>
          <w:szCs w:val="22"/>
        </w:rPr>
        <w:t xml:space="preserve"> may be</w:t>
      </w:r>
      <w:r w:rsidR="00895C26" w:rsidRPr="00257773">
        <w:rPr>
          <w:rFonts w:asciiTheme="minorHAnsi" w:hAnsiTheme="minorHAnsi" w:cs="Arial"/>
          <w:color w:val="1F497D" w:themeColor="text2"/>
          <w:sz w:val="22"/>
          <w:szCs w:val="22"/>
        </w:rPr>
        <w:t xml:space="preserve"> impractical to seek competitive bids</w:t>
      </w:r>
      <w:r w:rsidR="00461A0C" w:rsidRPr="00257773">
        <w:rPr>
          <w:rFonts w:asciiTheme="minorHAnsi" w:hAnsiTheme="minorHAnsi" w:cs="Arial"/>
          <w:color w:val="1F497D" w:themeColor="text2"/>
          <w:sz w:val="22"/>
          <w:szCs w:val="22"/>
        </w:rPr>
        <w:t xml:space="preserve"> through a quotation or tender process</w:t>
      </w:r>
      <w:r w:rsidR="00895C26" w:rsidRPr="00257773">
        <w:rPr>
          <w:rFonts w:asciiTheme="minorHAnsi" w:hAnsiTheme="minorHAnsi" w:cs="Arial"/>
          <w:color w:val="1F497D" w:themeColor="text2"/>
          <w:sz w:val="22"/>
          <w:szCs w:val="22"/>
        </w:rPr>
        <w:t xml:space="preserve">.  </w:t>
      </w:r>
    </w:p>
    <w:p w14:paraId="342F9A1F" w14:textId="77777777" w:rsidR="00086B02" w:rsidRPr="00257773" w:rsidRDefault="00086B02" w:rsidP="00086B02">
      <w:pPr>
        <w:pStyle w:val="NormalWeb"/>
        <w:spacing w:before="0" w:beforeAutospacing="0" w:after="0" w:afterAutospacing="0"/>
        <w:rPr>
          <w:rFonts w:asciiTheme="minorHAnsi" w:hAnsiTheme="minorHAnsi" w:cs="Arial"/>
          <w:color w:val="1F497D" w:themeColor="text2"/>
          <w:sz w:val="12"/>
          <w:szCs w:val="12"/>
        </w:rPr>
      </w:pPr>
    </w:p>
    <w:p w14:paraId="342F9A20" w14:textId="77777777" w:rsidR="00A13CF1" w:rsidRPr="00257773" w:rsidRDefault="000A0D32" w:rsidP="00086B02">
      <w:pPr>
        <w:pStyle w:val="NormalWeb"/>
        <w:spacing w:before="0" w:beforeAutospacing="0" w:after="120" w:afterAutospacing="0"/>
        <w:rPr>
          <w:rFonts w:asciiTheme="minorHAnsi" w:hAnsiTheme="minorHAnsi" w:cs="Arial"/>
          <w:color w:val="1F497D" w:themeColor="text2"/>
          <w:sz w:val="22"/>
          <w:szCs w:val="22"/>
        </w:rPr>
      </w:pPr>
      <w:r>
        <w:rPr>
          <w:rFonts w:asciiTheme="minorHAnsi" w:hAnsiTheme="minorHAnsi" w:cs="Arial"/>
          <w:color w:val="1F497D" w:themeColor="text2"/>
          <w:sz w:val="22"/>
          <w:szCs w:val="22"/>
        </w:rPr>
        <w:t xml:space="preserve">The following list sets out </w:t>
      </w:r>
      <w:r w:rsidR="00A13CF1" w:rsidRPr="00257773">
        <w:rPr>
          <w:rFonts w:asciiTheme="minorHAnsi" w:hAnsiTheme="minorHAnsi" w:cs="Arial"/>
          <w:color w:val="1F497D" w:themeColor="text2"/>
          <w:sz w:val="22"/>
          <w:szCs w:val="22"/>
        </w:rPr>
        <w:t>when a</w:t>
      </w:r>
      <w:r w:rsidR="00461A0C" w:rsidRPr="00257773">
        <w:rPr>
          <w:rFonts w:asciiTheme="minorHAnsi" w:hAnsiTheme="minorHAnsi" w:cs="Arial"/>
          <w:color w:val="1F497D" w:themeColor="text2"/>
          <w:sz w:val="22"/>
          <w:szCs w:val="22"/>
        </w:rPr>
        <w:t>n exemption</w:t>
      </w:r>
      <w:r w:rsidR="00A13CF1" w:rsidRPr="00257773">
        <w:rPr>
          <w:rFonts w:asciiTheme="minorHAnsi" w:hAnsiTheme="minorHAnsi" w:cs="Arial"/>
          <w:color w:val="1F497D" w:themeColor="text2"/>
          <w:sz w:val="22"/>
          <w:szCs w:val="22"/>
        </w:rPr>
        <w:t xml:space="preserve"> might be appropriate</w:t>
      </w:r>
      <w:r w:rsidR="00461A0C" w:rsidRPr="00257773">
        <w:rPr>
          <w:rFonts w:asciiTheme="minorHAnsi" w:hAnsiTheme="minorHAnsi" w:cs="Arial"/>
          <w:color w:val="1F497D" w:themeColor="text2"/>
          <w:sz w:val="22"/>
          <w:szCs w:val="22"/>
        </w:rPr>
        <w:t>. The</w:t>
      </w:r>
      <w:r w:rsidR="00A35DD9">
        <w:rPr>
          <w:rFonts w:asciiTheme="minorHAnsi" w:hAnsiTheme="minorHAnsi" w:cs="Arial"/>
          <w:color w:val="1F497D" w:themeColor="text2"/>
          <w:sz w:val="22"/>
          <w:szCs w:val="22"/>
        </w:rPr>
        <w:t xml:space="preserve"> items in the list</w:t>
      </w:r>
      <w:r w:rsidR="00D07485" w:rsidRPr="00257773">
        <w:rPr>
          <w:rFonts w:asciiTheme="minorHAnsi" w:hAnsiTheme="minorHAnsi" w:cs="Arial"/>
          <w:color w:val="1F497D" w:themeColor="text2"/>
          <w:sz w:val="22"/>
          <w:szCs w:val="22"/>
        </w:rPr>
        <w:t xml:space="preserve"> </w:t>
      </w:r>
      <w:r w:rsidR="00464A9E" w:rsidRPr="00257773">
        <w:rPr>
          <w:rFonts w:asciiTheme="minorHAnsi" w:hAnsiTheme="minorHAnsi" w:cs="Arial"/>
          <w:color w:val="1F497D" w:themeColor="text2"/>
          <w:sz w:val="22"/>
          <w:szCs w:val="22"/>
        </w:rPr>
        <w:t>are</w:t>
      </w:r>
      <w:r w:rsidR="00D07485" w:rsidRPr="00257773">
        <w:rPr>
          <w:rFonts w:asciiTheme="minorHAnsi" w:hAnsiTheme="minorHAnsi" w:cs="Arial"/>
          <w:color w:val="1F497D" w:themeColor="text2"/>
          <w:sz w:val="22"/>
          <w:szCs w:val="22"/>
        </w:rPr>
        <w:t xml:space="preserve"> not mutually exclusive and more than one may apply</w:t>
      </w:r>
      <w:r w:rsidR="00461A0C" w:rsidRPr="00257773">
        <w:rPr>
          <w:rFonts w:asciiTheme="minorHAnsi" w:hAnsiTheme="minorHAnsi" w:cs="Arial"/>
          <w:color w:val="1F497D" w:themeColor="text2"/>
          <w:sz w:val="22"/>
          <w:szCs w:val="22"/>
        </w:rPr>
        <w:t>.</w:t>
      </w:r>
    </w:p>
    <w:tbl>
      <w:tblPr>
        <w:tblW w:w="10888" w:type="dxa"/>
        <w:tblLook w:val="04A0" w:firstRow="1" w:lastRow="0" w:firstColumn="1" w:lastColumn="0" w:noHBand="0" w:noVBand="1"/>
      </w:tblPr>
      <w:tblGrid>
        <w:gridCol w:w="10888"/>
      </w:tblGrid>
      <w:tr w:rsidR="00A13CF1" w:rsidRPr="00257773" w14:paraId="342F9A22" w14:textId="77777777" w:rsidTr="009F0AAF">
        <w:trPr>
          <w:trHeight w:val="454"/>
        </w:trPr>
        <w:tc>
          <w:tcPr>
            <w:tcW w:w="10888" w:type="dxa"/>
          </w:tcPr>
          <w:p w14:paraId="342F9A21" w14:textId="77777777" w:rsidR="00A13CF1" w:rsidRPr="00257773" w:rsidRDefault="00A13CF1" w:rsidP="00EF7FD9">
            <w:pPr>
              <w:pStyle w:val="ListParagraph"/>
              <w:numPr>
                <w:ilvl w:val="0"/>
                <w:numId w:val="12"/>
              </w:numPr>
              <w:spacing w:after="60"/>
              <w:rPr>
                <w:rFonts w:ascii="Calibri" w:hAnsi="Calibri" w:cs="Arial"/>
                <w:color w:val="1F497D" w:themeColor="text2"/>
                <w:sz w:val="22"/>
                <w:szCs w:val="22"/>
              </w:rPr>
            </w:pPr>
            <w:r w:rsidRPr="00257773">
              <w:rPr>
                <w:rFonts w:ascii="Calibri" w:hAnsi="Calibri" w:cs="Arial"/>
                <w:color w:val="1F497D" w:themeColor="text2"/>
                <w:sz w:val="22"/>
                <w:szCs w:val="22"/>
              </w:rPr>
              <w:t xml:space="preserve">Technical </w:t>
            </w:r>
            <w:r w:rsidR="0098558E" w:rsidRPr="00257773">
              <w:rPr>
                <w:rFonts w:ascii="Calibri" w:hAnsi="Calibri" w:cs="Arial"/>
                <w:color w:val="1F497D" w:themeColor="text2"/>
                <w:sz w:val="22"/>
                <w:szCs w:val="22"/>
              </w:rPr>
              <w:t>c</w:t>
            </w:r>
            <w:r w:rsidRPr="00257773">
              <w:rPr>
                <w:rFonts w:ascii="Calibri" w:hAnsi="Calibri" w:cs="Arial"/>
                <w:color w:val="1F497D" w:themeColor="text2"/>
                <w:sz w:val="22"/>
                <w:szCs w:val="22"/>
              </w:rPr>
              <w:t>ompatibility</w:t>
            </w:r>
            <w:r w:rsidR="0098558E" w:rsidRPr="00257773">
              <w:rPr>
                <w:rFonts w:ascii="Calibri" w:hAnsi="Calibri" w:cs="Arial"/>
                <w:color w:val="1F497D" w:themeColor="text2"/>
                <w:sz w:val="22"/>
                <w:szCs w:val="22"/>
              </w:rPr>
              <w:t xml:space="preserve"> – for example, an</w:t>
            </w:r>
            <w:r w:rsidRPr="00257773">
              <w:rPr>
                <w:rFonts w:ascii="Calibri" w:hAnsi="Calibri" w:cs="Arial"/>
                <w:color w:val="1F497D" w:themeColor="text2"/>
                <w:sz w:val="22"/>
                <w:szCs w:val="22"/>
              </w:rPr>
              <w:t xml:space="preserve"> upgrade to an existing solution or </w:t>
            </w:r>
            <w:r w:rsidR="00EE0BF1">
              <w:rPr>
                <w:rFonts w:ascii="Calibri" w:hAnsi="Calibri" w:cs="Arial"/>
                <w:color w:val="1F497D" w:themeColor="text2"/>
                <w:sz w:val="22"/>
                <w:szCs w:val="22"/>
              </w:rPr>
              <w:t xml:space="preserve">the </w:t>
            </w:r>
            <w:r w:rsidRPr="00257773">
              <w:rPr>
                <w:rFonts w:ascii="Calibri" w:hAnsi="Calibri" w:cs="Arial"/>
                <w:color w:val="1F497D" w:themeColor="text2"/>
                <w:sz w:val="22"/>
                <w:szCs w:val="22"/>
              </w:rPr>
              <w:t>purchase of additional goods</w:t>
            </w:r>
            <w:r w:rsidR="00A14B55" w:rsidRPr="00257773">
              <w:rPr>
                <w:rFonts w:ascii="Calibri" w:hAnsi="Calibri" w:cs="Arial"/>
                <w:color w:val="1F497D" w:themeColor="text2"/>
                <w:sz w:val="22"/>
                <w:szCs w:val="22"/>
              </w:rPr>
              <w:t xml:space="preserve"> (or parts)</w:t>
            </w:r>
            <w:r w:rsidR="00265D3E" w:rsidRPr="00257773">
              <w:rPr>
                <w:rFonts w:ascii="Calibri" w:hAnsi="Calibri" w:cs="Arial"/>
                <w:color w:val="1F497D" w:themeColor="text2"/>
                <w:sz w:val="22"/>
                <w:szCs w:val="22"/>
              </w:rPr>
              <w:t xml:space="preserve"> and associated services</w:t>
            </w:r>
            <w:r w:rsidRPr="00257773">
              <w:rPr>
                <w:rFonts w:ascii="Calibri" w:hAnsi="Calibri" w:cs="Arial"/>
                <w:color w:val="1F497D" w:themeColor="text2"/>
                <w:sz w:val="22"/>
                <w:szCs w:val="22"/>
              </w:rPr>
              <w:t xml:space="preserve"> </w:t>
            </w:r>
            <w:r w:rsidR="0098558E" w:rsidRPr="00257773">
              <w:rPr>
                <w:rFonts w:ascii="Calibri" w:hAnsi="Calibri" w:cs="Arial"/>
                <w:color w:val="1F497D" w:themeColor="text2"/>
                <w:sz w:val="22"/>
                <w:szCs w:val="22"/>
              </w:rPr>
              <w:t>that</w:t>
            </w:r>
            <w:r w:rsidRPr="00257773">
              <w:rPr>
                <w:rFonts w:ascii="Calibri" w:hAnsi="Calibri" w:cs="Arial"/>
                <w:color w:val="1F497D" w:themeColor="text2"/>
                <w:sz w:val="22"/>
                <w:szCs w:val="22"/>
              </w:rPr>
              <w:t xml:space="preserve"> </w:t>
            </w:r>
            <w:r w:rsidRPr="00D76647">
              <w:rPr>
                <w:rFonts w:ascii="Calibri" w:hAnsi="Calibri" w:cs="Arial"/>
                <w:color w:val="1F497D" w:themeColor="text2"/>
                <w:sz w:val="22"/>
                <w:szCs w:val="22"/>
                <w:u w:val="single"/>
              </w:rPr>
              <w:t>must</w:t>
            </w:r>
            <w:r w:rsidRPr="00257773">
              <w:rPr>
                <w:rFonts w:ascii="Calibri" w:hAnsi="Calibri" w:cs="Arial"/>
                <w:color w:val="1F497D" w:themeColor="text2"/>
                <w:sz w:val="22"/>
                <w:szCs w:val="22"/>
              </w:rPr>
              <w:t xml:space="preserve"> be compatible with existing goods</w:t>
            </w:r>
            <w:r w:rsidR="0098558E" w:rsidRPr="00257773">
              <w:rPr>
                <w:rFonts w:ascii="Calibri" w:hAnsi="Calibri" w:cs="Arial"/>
                <w:color w:val="1F497D" w:themeColor="text2"/>
                <w:sz w:val="22"/>
                <w:szCs w:val="22"/>
              </w:rPr>
              <w:t>.</w:t>
            </w:r>
            <w:r w:rsidRPr="00257773">
              <w:rPr>
                <w:rFonts w:ascii="Calibri" w:hAnsi="Calibri" w:cs="Arial"/>
                <w:color w:val="1F497D" w:themeColor="text2"/>
                <w:sz w:val="22"/>
                <w:szCs w:val="22"/>
              </w:rPr>
              <w:t xml:space="preserve"> </w:t>
            </w:r>
          </w:p>
        </w:tc>
      </w:tr>
      <w:tr w:rsidR="00A13CF1" w:rsidRPr="00257773" w14:paraId="342F9A24" w14:textId="77777777" w:rsidTr="009F0AAF">
        <w:trPr>
          <w:trHeight w:val="276"/>
        </w:trPr>
        <w:tc>
          <w:tcPr>
            <w:tcW w:w="10888" w:type="dxa"/>
          </w:tcPr>
          <w:p w14:paraId="342F9A23" w14:textId="77777777" w:rsidR="00A13CF1" w:rsidRPr="00257773" w:rsidRDefault="00A13CF1" w:rsidP="00EF7FD9">
            <w:pPr>
              <w:pStyle w:val="ListParagraph"/>
              <w:numPr>
                <w:ilvl w:val="0"/>
                <w:numId w:val="12"/>
              </w:numPr>
              <w:spacing w:after="60"/>
              <w:rPr>
                <w:rFonts w:ascii="Calibri" w:hAnsi="Calibri" w:cs="Arial"/>
                <w:color w:val="1F497D" w:themeColor="text2"/>
                <w:sz w:val="22"/>
                <w:szCs w:val="22"/>
              </w:rPr>
            </w:pPr>
            <w:r w:rsidRPr="00257773">
              <w:rPr>
                <w:rFonts w:ascii="Calibri" w:hAnsi="Calibri" w:cs="Arial"/>
                <w:color w:val="1F497D" w:themeColor="text2"/>
                <w:sz w:val="22"/>
                <w:szCs w:val="22"/>
              </w:rPr>
              <w:t xml:space="preserve">Protection of </w:t>
            </w:r>
            <w:r w:rsidR="0098558E" w:rsidRPr="00257773">
              <w:rPr>
                <w:rFonts w:ascii="Calibri" w:hAnsi="Calibri" w:cs="Arial"/>
                <w:color w:val="1F497D" w:themeColor="text2"/>
                <w:sz w:val="22"/>
                <w:szCs w:val="22"/>
              </w:rPr>
              <w:t>e</w:t>
            </w:r>
            <w:r w:rsidR="00A14B55" w:rsidRPr="00257773">
              <w:rPr>
                <w:rFonts w:ascii="Calibri" w:hAnsi="Calibri" w:cs="Arial"/>
                <w:color w:val="1F497D" w:themeColor="text2"/>
                <w:sz w:val="22"/>
                <w:szCs w:val="22"/>
              </w:rPr>
              <w:t>xclusive</w:t>
            </w:r>
            <w:r w:rsidRPr="00257773">
              <w:rPr>
                <w:rFonts w:ascii="Calibri" w:hAnsi="Calibri" w:cs="Arial"/>
                <w:color w:val="1F497D" w:themeColor="text2"/>
                <w:sz w:val="22"/>
                <w:szCs w:val="22"/>
              </w:rPr>
              <w:t xml:space="preserve"> </w:t>
            </w:r>
            <w:r w:rsidR="0098558E" w:rsidRPr="00257773">
              <w:rPr>
                <w:rFonts w:ascii="Calibri" w:hAnsi="Calibri" w:cs="Arial"/>
                <w:color w:val="1F497D" w:themeColor="text2"/>
                <w:sz w:val="22"/>
                <w:szCs w:val="22"/>
              </w:rPr>
              <w:t>r</w:t>
            </w:r>
            <w:r w:rsidRPr="00257773">
              <w:rPr>
                <w:rFonts w:ascii="Calibri" w:hAnsi="Calibri" w:cs="Arial"/>
                <w:color w:val="1F497D" w:themeColor="text2"/>
                <w:sz w:val="22"/>
                <w:szCs w:val="22"/>
              </w:rPr>
              <w:t>ights</w:t>
            </w:r>
            <w:r w:rsidR="0098558E" w:rsidRPr="00257773">
              <w:rPr>
                <w:rFonts w:ascii="Calibri" w:hAnsi="Calibri" w:cs="Arial"/>
                <w:color w:val="1F497D" w:themeColor="text2"/>
                <w:sz w:val="22"/>
                <w:szCs w:val="22"/>
              </w:rPr>
              <w:t xml:space="preserve"> – for example,</w:t>
            </w:r>
            <w:r w:rsidR="00A14B55" w:rsidRPr="00257773">
              <w:rPr>
                <w:rFonts w:ascii="Calibri" w:hAnsi="Calibri" w:cs="Arial"/>
                <w:color w:val="1F497D" w:themeColor="text2"/>
                <w:sz w:val="22"/>
                <w:szCs w:val="22"/>
              </w:rPr>
              <w:t xml:space="preserve"> where the proposed supplier owns exclusive rights</w:t>
            </w:r>
            <w:r w:rsidR="0098558E" w:rsidRPr="00257773">
              <w:rPr>
                <w:rFonts w:ascii="Calibri" w:hAnsi="Calibri" w:cs="Arial"/>
                <w:color w:val="1F497D" w:themeColor="text2"/>
                <w:sz w:val="22"/>
                <w:szCs w:val="22"/>
              </w:rPr>
              <w:t xml:space="preserve"> (e.g. intellectual property rights)</w:t>
            </w:r>
            <w:r w:rsidR="00A14B55" w:rsidRPr="00257773">
              <w:rPr>
                <w:rFonts w:ascii="Calibri" w:hAnsi="Calibri" w:cs="Arial"/>
                <w:color w:val="1F497D" w:themeColor="text2"/>
                <w:sz w:val="22"/>
                <w:szCs w:val="22"/>
              </w:rPr>
              <w:t xml:space="preserve"> that prevent anyone else undertaking the work</w:t>
            </w:r>
            <w:r w:rsidR="008C3E0A" w:rsidRPr="00257773">
              <w:rPr>
                <w:rFonts w:ascii="Calibri" w:hAnsi="Calibri" w:cs="Arial"/>
                <w:color w:val="1F497D" w:themeColor="text2"/>
                <w:sz w:val="22"/>
                <w:szCs w:val="22"/>
              </w:rPr>
              <w:t>,</w:t>
            </w:r>
            <w:r w:rsidR="00265D3E" w:rsidRPr="00257773">
              <w:rPr>
                <w:rFonts w:ascii="Calibri" w:hAnsi="Calibri" w:cs="Arial"/>
                <w:color w:val="1F497D" w:themeColor="text2"/>
                <w:sz w:val="22"/>
                <w:szCs w:val="22"/>
              </w:rPr>
              <w:t xml:space="preserve"> where a warranty may be invalidated if maintenance/repair is not carried out by a specified or approved source</w:t>
            </w:r>
            <w:r w:rsidR="008C3E0A" w:rsidRPr="00257773">
              <w:rPr>
                <w:rFonts w:ascii="Calibri" w:hAnsi="Calibri" w:cs="Arial"/>
                <w:color w:val="1F497D" w:themeColor="text2"/>
                <w:sz w:val="22"/>
                <w:szCs w:val="22"/>
              </w:rPr>
              <w:t xml:space="preserve"> or where the required goods or materials are available only as proprietary or patented articles</w:t>
            </w:r>
            <w:r w:rsidR="0098558E" w:rsidRPr="00257773">
              <w:rPr>
                <w:rFonts w:ascii="Calibri" w:hAnsi="Calibri" w:cs="Arial"/>
                <w:color w:val="1F497D" w:themeColor="text2"/>
                <w:sz w:val="22"/>
                <w:szCs w:val="22"/>
              </w:rPr>
              <w:t>.</w:t>
            </w:r>
            <w:r w:rsidR="00265D3E" w:rsidRPr="00257773">
              <w:rPr>
                <w:rFonts w:ascii="Calibri" w:hAnsi="Calibri" w:cs="Arial"/>
                <w:color w:val="1F497D" w:themeColor="text2"/>
                <w:sz w:val="22"/>
                <w:szCs w:val="22"/>
              </w:rPr>
              <w:t xml:space="preserve"> </w:t>
            </w:r>
          </w:p>
        </w:tc>
      </w:tr>
      <w:tr w:rsidR="00A13CF1" w:rsidRPr="00257773" w14:paraId="342F9A26" w14:textId="77777777" w:rsidTr="009F0AAF">
        <w:trPr>
          <w:trHeight w:val="179"/>
        </w:trPr>
        <w:tc>
          <w:tcPr>
            <w:tcW w:w="10888" w:type="dxa"/>
          </w:tcPr>
          <w:p w14:paraId="342F9A25" w14:textId="77777777" w:rsidR="00A13CF1" w:rsidRPr="00257773" w:rsidRDefault="00A13CF1" w:rsidP="00EF7FD9">
            <w:pPr>
              <w:pStyle w:val="ListParagraph"/>
              <w:numPr>
                <w:ilvl w:val="0"/>
                <w:numId w:val="12"/>
              </w:numPr>
              <w:spacing w:after="60"/>
              <w:rPr>
                <w:rFonts w:ascii="Calibri" w:hAnsi="Calibri" w:cs="Arial"/>
                <w:color w:val="1F497D" w:themeColor="text2"/>
                <w:sz w:val="22"/>
                <w:szCs w:val="22"/>
              </w:rPr>
            </w:pPr>
            <w:r w:rsidRPr="00257773">
              <w:rPr>
                <w:rFonts w:ascii="Calibri" w:hAnsi="Calibri" w:cs="Arial"/>
                <w:color w:val="1F497D" w:themeColor="text2"/>
                <w:sz w:val="22"/>
                <w:szCs w:val="22"/>
              </w:rPr>
              <w:t xml:space="preserve">Single </w:t>
            </w:r>
            <w:r w:rsidR="0098558E" w:rsidRPr="00257773">
              <w:rPr>
                <w:rFonts w:ascii="Calibri" w:hAnsi="Calibri" w:cs="Arial"/>
                <w:color w:val="1F497D" w:themeColor="text2"/>
                <w:sz w:val="22"/>
                <w:szCs w:val="22"/>
              </w:rPr>
              <w:t>p</w:t>
            </w:r>
            <w:r w:rsidRPr="00257773">
              <w:rPr>
                <w:rFonts w:ascii="Calibri" w:hAnsi="Calibri" w:cs="Arial"/>
                <w:color w:val="1F497D" w:themeColor="text2"/>
                <w:sz w:val="22"/>
                <w:szCs w:val="22"/>
              </w:rPr>
              <w:t>rovider</w:t>
            </w:r>
            <w:r w:rsidR="0098558E" w:rsidRPr="00257773">
              <w:rPr>
                <w:rFonts w:ascii="Calibri" w:hAnsi="Calibri" w:cs="Arial"/>
                <w:color w:val="1F497D" w:themeColor="text2"/>
                <w:sz w:val="22"/>
                <w:szCs w:val="22"/>
              </w:rPr>
              <w:t xml:space="preserve"> - w</w:t>
            </w:r>
            <w:r w:rsidR="00A94D7D" w:rsidRPr="00257773">
              <w:rPr>
                <w:rFonts w:ascii="Calibri" w:hAnsi="Calibri" w:cs="Arial"/>
                <w:color w:val="1F497D" w:themeColor="text2"/>
                <w:sz w:val="22"/>
                <w:szCs w:val="22"/>
              </w:rPr>
              <w:t>here the supplier is in a monopoly position</w:t>
            </w:r>
            <w:r w:rsidR="0098558E" w:rsidRPr="00257773">
              <w:rPr>
                <w:rFonts w:ascii="Calibri" w:hAnsi="Calibri" w:cs="Arial"/>
                <w:color w:val="1F497D" w:themeColor="text2"/>
                <w:sz w:val="22"/>
                <w:szCs w:val="22"/>
              </w:rPr>
              <w:t>.</w:t>
            </w:r>
            <w:r w:rsidRPr="00257773">
              <w:rPr>
                <w:rFonts w:ascii="Calibri" w:hAnsi="Calibri" w:cs="Arial"/>
                <w:color w:val="1F497D" w:themeColor="text2"/>
                <w:sz w:val="22"/>
                <w:szCs w:val="22"/>
              </w:rPr>
              <w:t xml:space="preserve"> </w:t>
            </w:r>
          </w:p>
        </w:tc>
      </w:tr>
      <w:tr w:rsidR="00A13CF1" w:rsidRPr="00257773" w14:paraId="342F9A28" w14:textId="77777777" w:rsidTr="0098558E">
        <w:trPr>
          <w:trHeight w:val="512"/>
        </w:trPr>
        <w:tc>
          <w:tcPr>
            <w:tcW w:w="10888" w:type="dxa"/>
          </w:tcPr>
          <w:p w14:paraId="342F9A27" w14:textId="77777777" w:rsidR="00E432F3" w:rsidRPr="00257773" w:rsidRDefault="0098558E" w:rsidP="004A13DB">
            <w:pPr>
              <w:pStyle w:val="ListParagraph"/>
              <w:numPr>
                <w:ilvl w:val="0"/>
                <w:numId w:val="12"/>
              </w:numPr>
              <w:spacing w:after="60"/>
              <w:rPr>
                <w:rFonts w:ascii="Calibri" w:hAnsi="Calibri" w:cs="Arial"/>
                <w:color w:val="1F497D" w:themeColor="text2"/>
                <w:sz w:val="22"/>
                <w:szCs w:val="22"/>
              </w:rPr>
            </w:pPr>
            <w:r w:rsidRPr="00257773">
              <w:rPr>
                <w:rFonts w:ascii="Calibri" w:hAnsi="Calibri" w:cs="Arial"/>
                <w:color w:val="1F497D" w:themeColor="text2"/>
                <w:sz w:val="22"/>
                <w:szCs w:val="22"/>
              </w:rPr>
              <w:t>An extension of an existing contract where a change of supplier would cause</w:t>
            </w:r>
            <w:r w:rsidR="004A13DB">
              <w:rPr>
                <w:rFonts w:ascii="Calibri" w:hAnsi="Calibri" w:cs="Arial"/>
                <w:color w:val="1F497D" w:themeColor="text2"/>
                <w:sz w:val="22"/>
                <w:szCs w:val="22"/>
              </w:rPr>
              <w:t xml:space="preserve"> extensive and</w:t>
            </w:r>
            <w:r w:rsidRPr="00257773">
              <w:rPr>
                <w:rFonts w:ascii="Calibri" w:hAnsi="Calibri" w:cs="Arial"/>
                <w:color w:val="1F497D" w:themeColor="text2"/>
                <w:sz w:val="22"/>
                <w:szCs w:val="22"/>
              </w:rPr>
              <w:t xml:space="preserve"> d</w:t>
            </w:r>
            <w:r w:rsidR="00A13CF1" w:rsidRPr="00257773">
              <w:rPr>
                <w:rFonts w:ascii="Calibri" w:hAnsi="Calibri" w:cs="Arial"/>
                <w:color w:val="1F497D" w:themeColor="text2"/>
                <w:sz w:val="22"/>
                <w:szCs w:val="22"/>
              </w:rPr>
              <w:t xml:space="preserve">isproportionate technical difficulties. </w:t>
            </w:r>
          </w:p>
        </w:tc>
      </w:tr>
      <w:tr w:rsidR="00A13CF1" w:rsidRPr="00257773" w14:paraId="342F9A2A" w14:textId="77777777" w:rsidTr="009F0AAF">
        <w:trPr>
          <w:trHeight w:val="202"/>
        </w:trPr>
        <w:tc>
          <w:tcPr>
            <w:tcW w:w="10888" w:type="dxa"/>
          </w:tcPr>
          <w:p w14:paraId="342F9A29" w14:textId="77777777" w:rsidR="00A13CF1" w:rsidRPr="00257773" w:rsidRDefault="00A13CF1" w:rsidP="00EF7FD9">
            <w:pPr>
              <w:pStyle w:val="ListParagraph"/>
              <w:numPr>
                <w:ilvl w:val="0"/>
                <w:numId w:val="12"/>
              </w:numPr>
              <w:spacing w:after="60"/>
              <w:rPr>
                <w:rFonts w:ascii="Calibri" w:hAnsi="Calibri" w:cs="Arial"/>
                <w:color w:val="1F497D" w:themeColor="text2"/>
                <w:sz w:val="22"/>
                <w:szCs w:val="22"/>
              </w:rPr>
            </w:pPr>
            <w:r w:rsidRPr="00257773">
              <w:rPr>
                <w:rFonts w:ascii="Calibri" w:hAnsi="Calibri" w:cs="Arial"/>
                <w:color w:val="1F497D" w:themeColor="text2"/>
                <w:sz w:val="22"/>
                <w:szCs w:val="22"/>
              </w:rPr>
              <w:t xml:space="preserve">A one-off, unique opportunity </w:t>
            </w:r>
            <w:r w:rsidR="0098558E" w:rsidRPr="00257773">
              <w:rPr>
                <w:rFonts w:ascii="Calibri" w:hAnsi="Calibri" w:cs="Arial"/>
                <w:color w:val="1F497D" w:themeColor="text2"/>
                <w:sz w:val="22"/>
                <w:szCs w:val="22"/>
              </w:rPr>
              <w:t>that</w:t>
            </w:r>
            <w:r w:rsidRPr="00257773">
              <w:rPr>
                <w:rFonts w:ascii="Calibri" w:hAnsi="Calibri" w:cs="Arial"/>
                <w:color w:val="1F497D" w:themeColor="text2"/>
                <w:sz w:val="22"/>
                <w:szCs w:val="22"/>
              </w:rPr>
              <w:t xml:space="preserve"> offers </w:t>
            </w:r>
            <w:r w:rsidRPr="00D76647">
              <w:rPr>
                <w:rFonts w:ascii="Calibri" w:hAnsi="Calibri" w:cs="Arial"/>
                <w:color w:val="1F497D" w:themeColor="text2"/>
                <w:sz w:val="22"/>
                <w:szCs w:val="22"/>
                <w:u w:val="single"/>
              </w:rPr>
              <w:t>significant</w:t>
            </w:r>
            <w:r w:rsidRPr="00257773">
              <w:rPr>
                <w:rFonts w:ascii="Calibri" w:hAnsi="Calibri" w:cs="Arial"/>
                <w:color w:val="1F497D" w:themeColor="text2"/>
                <w:sz w:val="22"/>
                <w:szCs w:val="22"/>
              </w:rPr>
              <w:t xml:space="preserve"> </w:t>
            </w:r>
            <w:r w:rsidR="00D76647">
              <w:rPr>
                <w:rFonts w:ascii="Calibri" w:hAnsi="Calibri" w:cs="Arial"/>
                <w:color w:val="1F497D" w:themeColor="text2"/>
                <w:sz w:val="22"/>
                <w:szCs w:val="22"/>
              </w:rPr>
              <w:t xml:space="preserve">and </w:t>
            </w:r>
            <w:r w:rsidR="00D76647">
              <w:rPr>
                <w:rFonts w:ascii="Calibri" w:hAnsi="Calibri" w:cs="Arial"/>
                <w:color w:val="1F497D" w:themeColor="text2"/>
                <w:sz w:val="22"/>
                <w:szCs w:val="22"/>
                <w:u w:val="single"/>
              </w:rPr>
              <w:t>demonstrable</w:t>
            </w:r>
            <w:r w:rsidR="00D76647" w:rsidRPr="00C156C9">
              <w:rPr>
                <w:rFonts w:ascii="Calibri" w:hAnsi="Calibri" w:cs="Arial"/>
                <w:color w:val="1F497D" w:themeColor="text2"/>
                <w:sz w:val="22"/>
                <w:szCs w:val="22"/>
              </w:rPr>
              <w:t xml:space="preserve"> </w:t>
            </w:r>
            <w:r w:rsidRPr="00257773">
              <w:rPr>
                <w:rFonts w:ascii="Calibri" w:hAnsi="Calibri" w:cs="Arial"/>
                <w:color w:val="1F497D" w:themeColor="text2"/>
                <w:sz w:val="22"/>
                <w:szCs w:val="22"/>
              </w:rPr>
              <w:t>value</w:t>
            </w:r>
            <w:r w:rsidR="0098558E" w:rsidRPr="00257773">
              <w:rPr>
                <w:rFonts w:ascii="Calibri" w:hAnsi="Calibri" w:cs="Arial"/>
                <w:color w:val="1F497D" w:themeColor="text2"/>
                <w:sz w:val="22"/>
                <w:szCs w:val="22"/>
              </w:rPr>
              <w:t xml:space="preserve"> – for example, </w:t>
            </w:r>
            <w:r w:rsidR="007A6E00" w:rsidRPr="00257773">
              <w:rPr>
                <w:rFonts w:ascii="Calibri" w:hAnsi="Calibri" w:cs="Arial"/>
                <w:color w:val="1F497D" w:themeColor="text2"/>
                <w:sz w:val="22"/>
                <w:szCs w:val="22"/>
              </w:rPr>
              <w:t xml:space="preserve">to take advantage of particularly advantageous terms for the purchase of goods in a closing down sale or </w:t>
            </w:r>
            <w:r w:rsidR="0098558E" w:rsidRPr="00257773">
              <w:rPr>
                <w:rFonts w:ascii="Calibri" w:hAnsi="Calibri" w:cs="Arial"/>
                <w:color w:val="1F497D" w:themeColor="text2"/>
                <w:sz w:val="22"/>
                <w:szCs w:val="22"/>
              </w:rPr>
              <w:t xml:space="preserve">re-conditioned </w:t>
            </w:r>
            <w:r w:rsidR="007A6E00" w:rsidRPr="00257773">
              <w:rPr>
                <w:rFonts w:ascii="Calibri" w:hAnsi="Calibri" w:cs="Arial"/>
                <w:color w:val="1F497D" w:themeColor="text2"/>
                <w:sz w:val="22"/>
                <w:szCs w:val="22"/>
              </w:rPr>
              <w:t>goods</w:t>
            </w:r>
            <w:r w:rsidR="0098558E" w:rsidRPr="00257773">
              <w:rPr>
                <w:rFonts w:ascii="Calibri" w:hAnsi="Calibri" w:cs="Arial"/>
                <w:color w:val="1F497D" w:themeColor="text2"/>
                <w:sz w:val="22"/>
                <w:szCs w:val="22"/>
              </w:rPr>
              <w:t>.</w:t>
            </w:r>
            <w:r w:rsidRPr="00257773">
              <w:rPr>
                <w:rFonts w:ascii="Calibri" w:hAnsi="Calibri" w:cs="Arial"/>
                <w:color w:val="1F497D" w:themeColor="text2"/>
                <w:sz w:val="22"/>
                <w:szCs w:val="22"/>
              </w:rPr>
              <w:t xml:space="preserve">  </w:t>
            </w:r>
          </w:p>
        </w:tc>
      </w:tr>
      <w:tr w:rsidR="00A13CF1" w:rsidRPr="00257773" w14:paraId="342F9A2C" w14:textId="77777777" w:rsidTr="009F0AAF">
        <w:trPr>
          <w:trHeight w:val="436"/>
        </w:trPr>
        <w:tc>
          <w:tcPr>
            <w:tcW w:w="10888" w:type="dxa"/>
          </w:tcPr>
          <w:p w14:paraId="342F9A2B" w14:textId="77777777" w:rsidR="00A13CF1" w:rsidRPr="00257773" w:rsidRDefault="00A13CF1" w:rsidP="00BE6F95">
            <w:pPr>
              <w:pStyle w:val="ListParagraph"/>
              <w:numPr>
                <w:ilvl w:val="0"/>
                <w:numId w:val="12"/>
              </w:numPr>
              <w:spacing w:after="60"/>
              <w:rPr>
                <w:rFonts w:ascii="Calibri" w:hAnsi="Calibri" w:cs="Arial"/>
                <w:color w:val="1F497D" w:themeColor="text2"/>
                <w:sz w:val="22"/>
                <w:szCs w:val="22"/>
              </w:rPr>
            </w:pPr>
            <w:r w:rsidRPr="00D76647">
              <w:rPr>
                <w:rFonts w:ascii="Calibri" w:hAnsi="Calibri" w:cs="Arial"/>
                <w:color w:val="1F497D" w:themeColor="text2"/>
                <w:sz w:val="22"/>
                <w:szCs w:val="22"/>
                <w:u w:val="single"/>
              </w:rPr>
              <w:t>Extreme</w:t>
            </w:r>
            <w:r w:rsidRPr="00257773">
              <w:rPr>
                <w:rFonts w:ascii="Calibri" w:hAnsi="Calibri" w:cs="Arial"/>
                <w:color w:val="1F497D" w:themeColor="text2"/>
                <w:sz w:val="22"/>
                <w:szCs w:val="22"/>
              </w:rPr>
              <w:t xml:space="preserve"> urgency, </w:t>
            </w:r>
            <w:r w:rsidR="0098558E" w:rsidRPr="00257773">
              <w:rPr>
                <w:rFonts w:ascii="Calibri" w:hAnsi="Calibri" w:cs="Arial"/>
                <w:color w:val="1F497D" w:themeColor="text2"/>
                <w:sz w:val="22"/>
                <w:szCs w:val="22"/>
              </w:rPr>
              <w:t xml:space="preserve">that </w:t>
            </w:r>
            <w:r w:rsidRPr="00257773">
              <w:rPr>
                <w:rFonts w:ascii="Calibri" w:hAnsi="Calibri" w:cs="Arial"/>
                <w:color w:val="1F497D" w:themeColor="text2"/>
                <w:sz w:val="22"/>
                <w:szCs w:val="22"/>
              </w:rPr>
              <w:t xml:space="preserve">was </w:t>
            </w:r>
            <w:r w:rsidRPr="00D76647">
              <w:rPr>
                <w:rFonts w:ascii="Calibri" w:hAnsi="Calibri" w:cs="Arial"/>
                <w:color w:val="1F497D" w:themeColor="text2"/>
                <w:sz w:val="22"/>
                <w:szCs w:val="22"/>
                <w:u w:val="single"/>
              </w:rPr>
              <w:t>unforeseeable</w:t>
            </w:r>
            <w:r w:rsidR="00187A6C" w:rsidRPr="00257773">
              <w:rPr>
                <w:rFonts w:ascii="Calibri" w:hAnsi="Calibri" w:cs="Arial"/>
                <w:color w:val="1F497D" w:themeColor="text2"/>
                <w:sz w:val="22"/>
                <w:szCs w:val="22"/>
              </w:rPr>
              <w:t xml:space="preserve"> (not just unforeseen)</w:t>
            </w:r>
            <w:r w:rsidR="0098558E" w:rsidRPr="00257773">
              <w:rPr>
                <w:rFonts w:ascii="Calibri" w:hAnsi="Calibri" w:cs="Arial"/>
                <w:color w:val="1F497D" w:themeColor="text2"/>
                <w:sz w:val="22"/>
                <w:szCs w:val="22"/>
              </w:rPr>
              <w:t xml:space="preserve">, </w:t>
            </w:r>
            <w:r w:rsidRPr="00257773">
              <w:rPr>
                <w:rFonts w:ascii="Calibri" w:hAnsi="Calibri" w:cs="Arial"/>
                <w:color w:val="1F497D" w:themeColor="text2"/>
                <w:sz w:val="22"/>
                <w:szCs w:val="22"/>
              </w:rPr>
              <w:t>not attributable to the request</w:t>
            </w:r>
            <w:r w:rsidR="00BE6F95">
              <w:rPr>
                <w:rFonts w:ascii="Calibri" w:hAnsi="Calibri" w:cs="Arial"/>
                <w:color w:val="1F497D" w:themeColor="text2"/>
                <w:sz w:val="22"/>
                <w:szCs w:val="22"/>
              </w:rPr>
              <w:t>o</w:t>
            </w:r>
            <w:r w:rsidRPr="00257773">
              <w:rPr>
                <w:rFonts w:ascii="Calibri" w:hAnsi="Calibri" w:cs="Arial"/>
                <w:color w:val="1F497D" w:themeColor="text2"/>
                <w:sz w:val="22"/>
                <w:szCs w:val="22"/>
              </w:rPr>
              <w:t>r and</w:t>
            </w:r>
            <w:r w:rsidR="00BE6F95">
              <w:rPr>
                <w:rFonts w:ascii="Calibri" w:hAnsi="Calibri" w:cs="Arial"/>
                <w:color w:val="1F497D" w:themeColor="text2"/>
                <w:sz w:val="22"/>
                <w:szCs w:val="22"/>
              </w:rPr>
              <w:t xml:space="preserve"> which</w:t>
            </w:r>
            <w:r w:rsidRPr="00257773">
              <w:rPr>
                <w:rFonts w:ascii="Calibri" w:hAnsi="Calibri" w:cs="Arial"/>
                <w:color w:val="1F497D" w:themeColor="text2"/>
                <w:sz w:val="22"/>
                <w:szCs w:val="22"/>
              </w:rPr>
              <w:t xml:space="preserve"> precludes the invitation of quotations or tenders</w:t>
            </w:r>
            <w:r w:rsidR="0098558E" w:rsidRPr="00257773">
              <w:rPr>
                <w:rFonts w:ascii="Calibri" w:hAnsi="Calibri" w:cs="Arial"/>
                <w:color w:val="1F497D" w:themeColor="text2"/>
                <w:sz w:val="22"/>
                <w:szCs w:val="22"/>
              </w:rPr>
              <w:t>.</w:t>
            </w:r>
            <w:r w:rsidRPr="00257773">
              <w:rPr>
                <w:rFonts w:ascii="Calibri" w:hAnsi="Calibri" w:cs="Arial"/>
                <w:color w:val="1F497D" w:themeColor="text2"/>
                <w:sz w:val="22"/>
                <w:szCs w:val="22"/>
              </w:rPr>
              <w:t xml:space="preserve"> </w:t>
            </w:r>
          </w:p>
        </w:tc>
      </w:tr>
      <w:tr w:rsidR="00A13CF1" w:rsidRPr="00257773" w14:paraId="342F9A2E" w14:textId="77777777" w:rsidTr="00431A9D">
        <w:trPr>
          <w:trHeight w:val="80"/>
        </w:trPr>
        <w:tc>
          <w:tcPr>
            <w:tcW w:w="10888" w:type="dxa"/>
          </w:tcPr>
          <w:p w14:paraId="342F9A2D" w14:textId="77777777" w:rsidR="00566AF9" w:rsidRPr="00257773" w:rsidRDefault="0098558E" w:rsidP="0098558E">
            <w:pPr>
              <w:pStyle w:val="ListParagraph"/>
              <w:numPr>
                <w:ilvl w:val="0"/>
                <w:numId w:val="12"/>
              </w:numPr>
              <w:rPr>
                <w:rFonts w:ascii="Calibri" w:hAnsi="Calibri" w:cs="Arial"/>
                <w:color w:val="1F497D" w:themeColor="text2"/>
                <w:sz w:val="22"/>
                <w:szCs w:val="22"/>
              </w:rPr>
            </w:pPr>
            <w:r w:rsidRPr="00257773">
              <w:rPr>
                <w:rFonts w:ascii="Calibri" w:hAnsi="Calibri" w:cs="Arial"/>
                <w:color w:val="1F497D" w:themeColor="text2"/>
                <w:sz w:val="22"/>
                <w:szCs w:val="22"/>
              </w:rPr>
              <w:t>A</w:t>
            </w:r>
            <w:r w:rsidR="00566AF9" w:rsidRPr="00257773">
              <w:rPr>
                <w:rFonts w:ascii="Calibri" w:hAnsi="Calibri" w:cs="Arial"/>
                <w:color w:val="1F497D" w:themeColor="text2"/>
                <w:sz w:val="22"/>
                <w:szCs w:val="22"/>
              </w:rPr>
              <w:t xml:space="preserve"> grant award </w:t>
            </w:r>
            <w:r w:rsidR="00566AF9" w:rsidRPr="00D76647">
              <w:rPr>
                <w:rFonts w:ascii="Calibri" w:hAnsi="Calibri" w:cs="Arial"/>
                <w:color w:val="1F497D" w:themeColor="text2"/>
                <w:sz w:val="22"/>
                <w:szCs w:val="22"/>
                <w:u w:val="single"/>
              </w:rPr>
              <w:t>mandates</w:t>
            </w:r>
            <w:r w:rsidR="00566AF9" w:rsidRPr="00BE6F95">
              <w:rPr>
                <w:rFonts w:ascii="Calibri" w:hAnsi="Calibri" w:cs="Arial"/>
                <w:color w:val="1F497D" w:themeColor="text2"/>
                <w:sz w:val="22"/>
                <w:szCs w:val="22"/>
              </w:rPr>
              <w:t xml:space="preserve"> </w:t>
            </w:r>
            <w:r w:rsidR="00566AF9" w:rsidRPr="00257773">
              <w:rPr>
                <w:rFonts w:ascii="Calibri" w:hAnsi="Calibri" w:cs="Arial"/>
                <w:color w:val="1F497D" w:themeColor="text2"/>
                <w:sz w:val="22"/>
                <w:szCs w:val="22"/>
              </w:rPr>
              <w:t>the use of a particular supplier</w:t>
            </w:r>
            <w:r w:rsidRPr="00257773">
              <w:rPr>
                <w:rFonts w:ascii="Calibri" w:hAnsi="Calibri" w:cs="Arial"/>
                <w:color w:val="1F497D" w:themeColor="text2"/>
                <w:sz w:val="22"/>
                <w:szCs w:val="22"/>
              </w:rPr>
              <w:t>.</w:t>
            </w:r>
          </w:p>
        </w:tc>
      </w:tr>
    </w:tbl>
    <w:p w14:paraId="342F9A2F" w14:textId="77777777" w:rsidR="00086B02" w:rsidRPr="00257773" w:rsidRDefault="00086B02" w:rsidP="00086B02">
      <w:pPr>
        <w:pStyle w:val="NormalWeb"/>
        <w:spacing w:before="0" w:beforeAutospacing="0" w:after="0" w:afterAutospacing="0"/>
        <w:rPr>
          <w:rFonts w:asciiTheme="minorHAnsi" w:hAnsiTheme="minorHAnsi" w:cs="Arial"/>
          <w:color w:val="1F497D" w:themeColor="text2"/>
          <w:sz w:val="12"/>
          <w:szCs w:val="12"/>
        </w:rPr>
      </w:pPr>
    </w:p>
    <w:p w14:paraId="342F9A30" w14:textId="77777777" w:rsidR="0098558E" w:rsidRPr="00257773" w:rsidRDefault="0098558E" w:rsidP="00287C92">
      <w:pPr>
        <w:pStyle w:val="NormalWeb"/>
        <w:spacing w:before="0" w:beforeAutospacing="0" w:after="0" w:afterAutospacing="0"/>
        <w:rPr>
          <w:rFonts w:asciiTheme="minorHAnsi" w:hAnsiTheme="minorHAnsi" w:cs="Arial"/>
          <w:color w:val="1F497D" w:themeColor="text2"/>
          <w:sz w:val="22"/>
          <w:szCs w:val="22"/>
        </w:rPr>
      </w:pPr>
      <w:r w:rsidRPr="00257773">
        <w:rPr>
          <w:rFonts w:asciiTheme="minorHAnsi" w:hAnsiTheme="minorHAnsi" w:cs="Arial"/>
          <w:b/>
          <w:color w:val="1F497D" w:themeColor="text2"/>
          <w:sz w:val="22"/>
          <w:szCs w:val="22"/>
        </w:rPr>
        <w:t xml:space="preserve">Approval required: </w:t>
      </w:r>
      <w:r w:rsidRPr="00257773">
        <w:rPr>
          <w:rFonts w:asciiTheme="minorHAnsi" w:hAnsiTheme="minorHAnsi" w:cs="Arial"/>
          <w:color w:val="1F497D" w:themeColor="text2"/>
          <w:sz w:val="22"/>
          <w:szCs w:val="22"/>
        </w:rPr>
        <w:t xml:space="preserve">the </w:t>
      </w:r>
      <w:hyperlink r:id="rId12" w:history="1">
        <w:r w:rsidRPr="00636177">
          <w:rPr>
            <w:rStyle w:val="Hyperlink"/>
            <w:rFonts w:asciiTheme="minorHAnsi" w:hAnsiTheme="minorHAnsi" w:cs="Arial"/>
            <w:sz w:val="22"/>
            <w:szCs w:val="22"/>
          </w:rPr>
          <w:t>Tender Exemption Request Form</w:t>
        </w:r>
      </w:hyperlink>
      <w:r w:rsidRPr="00257773">
        <w:rPr>
          <w:rFonts w:asciiTheme="minorHAnsi" w:hAnsiTheme="minorHAnsi" w:cs="Arial"/>
          <w:color w:val="1F497D" w:themeColor="text2"/>
          <w:sz w:val="22"/>
          <w:szCs w:val="22"/>
        </w:rPr>
        <w:t xml:space="preserve"> setting out</w:t>
      </w:r>
      <w:r w:rsidR="00287C92" w:rsidRPr="00257773">
        <w:rPr>
          <w:rFonts w:asciiTheme="minorHAnsi" w:hAnsiTheme="minorHAnsi" w:cs="Arial"/>
          <w:color w:val="1F497D" w:themeColor="text2"/>
          <w:sz w:val="22"/>
          <w:szCs w:val="22"/>
        </w:rPr>
        <w:t xml:space="preserve"> the decision to dispense with </w:t>
      </w:r>
      <w:r w:rsidRPr="00257773">
        <w:rPr>
          <w:rFonts w:asciiTheme="minorHAnsi" w:hAnsiTheme="minorHAnsi" w:cs="Arial"/>
          <w:color w:val="1F497D" w:themeColor="text2"/>
          <w:sz w:val="22"/>
          <w:szCs w:val="22"/>
        </w:rPr>
        <w:t xml:space="preserve">a </w:t>
      </w:r>
      <w:r w:rsidR="00287C92" w:rsidRPr="00257773">
        <w:rPr>
          <w:rFonts w:asciiTheme="minorHAnsi" w:hAnsiTheme="minorHAnsi" w:cs="Arial"/>
          <w:color w:val="1F497D" w:themeColor="text2"/>
          <w:sz w:val="22"/>
          <w:szCs w:val="22"/>
        </w:rPr>
        <w:t>competiti</w:t>
      </w:r>
      <w:r w:rsidRPr="00257773">
        <w:rPr>
          <w:rFonts w:asciiTheme="minorHAnsi" w:hAnsiTheme="minorHAnsi" w:cs="Arial"/>
          <w:color w:val="1F497D" w:themeColor="text2"/>
          <w:sz w:val="22"/>
          <w:szCs w:val="22"/>
        </w:rPr>
        <w:t>ve process</w:t>
      </w:r>
      <w:r w:rsidR="00287C92" w:rsidRPr="00257773">
        <w:rPr>
          <w:rFonts w:asciiTheme="minorHAnsi" w:hAnsiTheme="minorHAnsi" w:cs="Arial"/>
          <w:color w:val="1F497D" w:themeColor="text2"/>
          <w:sz w:val="22"/>
          <w:szCs w:val="22"/>
        </w:rPr>
        <w:t xml:space="preserve"> </w:t>
      </w:r>
      <w:r w:rsidR="007A305C" w:rsidRPr="00257773">
        <w:rPr>
          <w:rFonts w:asciiTheme="minorHAnsi" w:hAnsiTheme="minorHAnsi" w:cs="Arial"/>
          <w:color w:val="1F497D" w:themeColor="text2"/>
          <w:sz w:val="22"/>
          <w:szCs w:val="22"/>
        </w:rPr>
        <w:t>m</w:t>
      </w:r>
      <w:r w:rsidR="00157330">
        <w:rPr>
          <w:rFonts w:asciiTheme="minorHAnsi" w:hAnsiTheme="minorHAnsi" w:cs="Arial"/>
          <w:color w:val="1F497D" w:themeColor="text2"/>
          <w:sz w:val="22"/>
          <w:szCs w:val="22"/>
        </w:rPr>
        <w:t>ust</w:t>
      </w:r>
      <w:r w:rsidR="00287C92" w:rsidRPr="00257773">
        <w:rPr>
          <w:rFonts w:asciiTheme="minorHAnsi" w:hAnsiTheme="minorHAnsi" w:cs="Arial"/>
          <w:color w:val="1F497D" w:themeColor="text2"/>
          <w:sz w:val="22"/>
          <w:szCs w:val="22"/>
        </w:rPr>
        <w:t xml:space="preserve"> be endorsed</w:t>
      </w:r>
      <w:r w:rsidR="007A305C" w:rsidRPr="00257773">
        <w:rPr>
          <w:rFonts w:asciiTheme="minorHAnsi" w:hAnsiTheme="minorHAnsi" w:cs="Arial"/>
          <w:color w:val="1F497D" w:themeColor="text2"/>
          <w:sz w:val="22"/>
          <w:szCs w:val="22"/>
        </w:rPr>
        <w:t xml:space="preserve"> </w:t>
      </w:r>
      <w:r w:rsidR="00287C92" w:rsidRPr="00257773">
        <w:rPr>
          <w:rFonts w:asciiTheme="minorHAnsi" w:hAnsiTheme="minorHAnsi" w:cs="Arial"/>
          <w:color w:val="1F497D" w:themeColor="text2"/>
          <w:sz w:val="22"/>
          <w:szCs w:val="22"/>
        </w:rPr>
        <w:t xml:space="preserve">by the Head of Department or </w:t>
      </w:r>
      <w:r w:rsidR="00533C07">
        <w:rPr>
          <w:rFonts w:asciiTheme="minorHAnsi" w:hAnsiTheme="minorHAnsi" w:cs="Arial"/>
          <w:color w:val="1F497D" w:themeColor="text2"/>
          <w:sz w:val="22"/>
          <w:szCs w:val="22"/>
        </w:rPr>
        <w:t xml:space="preserve">Departmental </w:t>
      </w:r>
      <w:r w:rsidR="00287C92" w:rsidRPr="00257773">
        <w:rPr>
          <w:rFonts w:asciiTheme="minorHAnsi" w:hAnsiTheme="minorHAnsi" w:cs="Arial"/>
          <w:color w:val="1F497D" w:themeColor="text2"/>
          <w:sz w:val="22"/>
          <w:szCs w:val="22"/>
        </w:rPr>
        <w:t>Administrator</w:t>
      </w:r>
      <w:r w:rsidR="007A305C" w:rsidRPr="00257773">
        <w:rPr>
          <w:rFonts w:asciiTheme="minorHAnsi" w:hAnsiTheme="minorHAnsi" w:cs="Arial"/>
          <w:color w:val="1F497D" w:themeColor="text2"/>
          <w:sz w:val="22"/>
          <w:szCs w:val="22"/>
        </w:rPr>
        <w:t xml:space="preserve"> where</w:t>
      </w:r>
      <w:r w:rsidRPr="00257773">
        <w:rPr>
          <w:rFonts w:asciiTheme="minorHAnsi" w:hAnsiTheme="minorHAnsi" w:cs="Arial"/>
          <w:color w:val="1F497D" w:themeColor="text2"/>
          <w:sz w:val="22"/>
          <w:szCs w:val="22"/>
        </w:rPr>
        <w:t>:</w:t>
      </w:r>
    </w:p>
    <w:p w14:paraId="342F9A31" w14:textId="77777777" w:rsidR="0098558E" w:rsidRDefault="009D15E0" w:rsidP="0098558E">
      <w:pPr>
        <w:pStyle w:val="NormalWeb"/>
        <w:numPr>
          <w:ilvl w:val="0"/>
          <w:numId w:val="14"/>
        </w:numPr>
        <w:spacing w:before="0" w:beforeAutospacing="0" w:after="0" w:afterAutospacing="0"/>
        <w:rPr>
          <w:rFonts w:asciiTheme="minorHAnsi" w:hAnsiTheme="minorHAnsi" w:cs="Arial"/>
          <w:color w:val="1F497D" w:themeColor="text2"/>
          <w:sz w:val="22"/>
          <w:szCs w:val="22"/>
        </w:rPr>
      </w:pPr>
      <w:r>
        <w:rPr>
          <w:rFonts w:asciiTheme="minorHAnsi" w:hAnsiTheme="minorHAnsi" w:cs="Arial"/>
          <w:color w:val="1F497D" w:themeColor="text2"/>
          <w:sz w:val="22"/>
          <w:szCs w:val="22"/>
        </w:rPr>
        <w:t xml:space="preserve">The purchase </w:t>
      </w:r>
      <w:r w:rsidR="00753D69">
        <w:rPr>
          <w:rFonts w:asciiTheme="minorHAnsi" w:hAnsiTheme="minorHAnsi" w:cs="Arial"/>
          <w:color w:val="1F497D" w:themeColor="text2"/>
          <w:sz w:val="22"/>
          <w:szCs w:val="22"/>
        </w:rPr>
        <w:t xml:space="preserve">is </w:t>
      </w:r>
      <w:r w:rsidR="007A305C" w:rsidRPr="00257773">
        <w:rPr>
          <w:rFonts w:asciiTheme="minorHAnsi" w:hAnsiTheme="minorHAnsi" w:cs="Arial"/>
          <w:color w:val="1F497D" w:themeColor="text2"/>
          <w:sz w:val="22"/>
          <w:szCs w:val="22"/>
        </w:rPr>
        <w:t>less than £100</w:t>
      </w:r>
      <w:r w:rsidR="0098558E" w:rsidRPr="00257773">
        <w:rPr>
          <w:rFonts w:asciiTheme="minorHAnsi" w:hAnsiTheme="minorHAnsi" w:cs="Arial"/>
          <w:color w:val="1F497D" w:themeColor="text2"/>
          <w:sz w:val="22"/>
          <w:szCs w:val="22"/>
        </w:rPr>
        <w:t>,000</w:t>
      </w:r>
      <w:r w:rsidR="007A305C" w:rsidRPr="00257773">
        <w:rPr>
          <w:rFonts w:asciiTheme="minorHAnsi" w:hAnsiTheme="minorHAnsi" w:cs="Arial"/>
          <w:color w:val="1F497D" w:themeColor="text2"/>
          <w:sz w:val="22"/>
          <w:szCs w:val="22"/>
        </w:rPr>
        <w:t xml:space="preserve"> (ex-VAT) </w:t>
      </w:r>
      <w:r w:rsidR="007A305C" w:rsidRPr="00257773">
        <w:rPr>
          <w:rFonts w:asciiTheme="minorHAnsi" w:hAnsiTheme="minorHAnsi" w:cs="Arial"/>
          <w:b/>
          <w:color w:val="1F497D" w:themeColor="text2"/>
          <w:sz w:val="22"/>
          <w:szCs w:val="22"/>
        </w:rPr>
        <w:t>AND</w:t>
      </w:r>
      <w:r w:rsidR="007A305C" w:rsidRPr="00257773">
        <w:rPr>
          <w:rFonts w:asciiTheme="minorHAnsi" w:hAnsiTheme="minorHAnsi" w:cs="Arial"/>
          <w:color w:val="1F497D" w:themeColor="text2"/>
          <w:sz w:val="22"/>
          <w:szCs w:val="22"/>
        </w:rPr>
        <w:t xml:space="preserve"> </w:t>
      </w:r>
    </w:p>
    <w:p w14:paraId="342F9A32" w14:textId="77777777" w:rsidR="00753D69" w:rsidRPr="009D15E0" w:rsidRDefault="00753D69" w:rsidP="0098558E">
      <w:pPr>
        <w:pStyle w:val="NormalWeb"/>
        <w:numPr>
          <w:ilvl w:val="0"/>
          <w:numId w:val="14"/>
        </w:numPr>
        <w:spacing w:before="0" w:beforeAutospacing="0" w:after="0" w:afterAutospacing="0"/>
        <w:rPr>
          <w:rFonts w:asciiTheme="minorHAnsi" w:hAnsiTheme="minorHAnsi" w:cs="Arial"/>
          <w:color w:val="1F497D" w:themeColor="text2"/>
          <w:sz w:val="22"/>
          <w:szCs w:val="22"/>
        </w:rPr>
      </w:pPr>
      <w:r>
        <w:rPr>
          <w:rFonts w:asciiTheme="minorHAnsi" w:hAnsiTheme="minorHAnsi" w:cs="Arial"/>
          <w:color w:val="1F497D" w:themeColor="text2"/>
          <w:sz w:val="22"/>
          <w:szCs w:val="22"/>
        </w:rPr>
        <w:t xml:space="preserve">constitutes a valid exemption from a competitive process (as justified by reference to the list above) </w:t>
      </w:r>
      <w:r>
        <w:rPr>
          <w:rFonts w:asciiTheme="minorHAnsi" w:hAnsiTheme="minorHAnsi" w:cs="Arial"/>
          <w:b/>
          <w:color w:val="1F497D" w:themeColor="text2"/>
          <w:sz w:val="22"/>
          <w:szCs w:val="22"/>
        </w:rPr>
        <w:t>AND</w:t>
      </w:r>
    </w:p>
    <w:p w14:paraId="342F9A33" w14:textId="77777777" w:rsidR="00753D69" w:rsidRPr="00257773" w:rsidRDefault="00753D69" w:rsidP="0098558E">
      <w:pPr>
        <w:pStyle w:val="NormalWeb"/>
        <w:numPr>
          <w:ilvl w:val="0"/>
          <w:numId w:val="14"/>
        </w:numPr>
        <w:spacing w:before="0" w:beforeAutospacing="0" w:after="0" w:afterAutospacing="0"/>
        <w:rPr>
          <w:rFonts w:asciiTheme="minorHAnsi" w:hAnsiTheme="minorHAnsi" w:cs="Arial"/>
          <w:color w:val="1F497D" w:themeColor="text2"/>
          <w:sz w:val="22"/>
          <w:szCs w:val="22"/>
        </w:rPr>
      </w:pPr>
      <w:r>
        <w:rPr>
          <w:rFonts w:asciiTheme="minorHAnsi" w:hAnsiTheme="minorHAnsi" w:cs="Arial"/>
          <w:color w:val="1F497D" w:themeColor="text2"/>
          <w:sz w:val="22"/>
          <w:szCs w:val="22"/>
        </w:rPr>
        <w:t xml:space="preserve">is with a preferred supplier </w:t>
      </w:r>
      <w:r w:rsidRPr="009D15E0">
        <w:rPr>
          <w:rFonts w:asciiTheme="minorHAnsi" w:hAnsiTheme="minorHAnsi" w:cs="Arial"/>
          <w:b/>
          <w:color w:val="1F497D" w:themeColor="text2"/>
          <w:sz w:val="22"/>
          <w:szCs w:val="22"/>
        </w:rPr>
        <w:t>OR</w:t>
      </w:r>
      <w:r>
        <w:rPr>
          <w:rFonts w:asciiTheme="minorHAnsi" w:hAnsiTheme="minorHAnsi" w:cs="Arial"/>
          <w:color w:val="1F497D" w:themeColor="text2"/>
          <w:sz w:val="22"/>
          <w:szCs w:val="22"/>
        </w:rPr>
        <w:t xml:space="preserve"> the supplier in question has agreed to the University’s terms and conditions.</w:t>
      </w:r>
    </w:p>
    <w:p w14:paraId="342F9A34" w14:textId="77777777" w:rsidR="00AD44F3" w:rsidRPr="00FE7ADB" w:rsidRDefault="00AD44F3" w:rsidP="00AD44F3">
      <w:pPr>
        <w:pStyle w:val="NormalWeb"/>
        <w:spacing w:before="0" w:beforeAutospacing="0" w:after="0" w:afterAutospacing="0"/>
        <w:rPr>
          <w:rFonts w:asciiTheme="minorHAnsi" w:hAnsiTheme="minorHAnsi" w:cs="Arial"/>
          <w:color w:val="1F497D" w:themeColor="text2"/>
          <w:sz w:val="12"/>
          <w:szCs w:val="12"/>
        </w:rPr>
      </w:pPr>
    </w:p>
    <w:p w14:paraId="342F9A35" w14:textId="77777777" w:rsidR="007A305C" w:rsidRPr="00257773" w:rsidRDefault="007A305C" w:rsidP="00AD44F3">
      <w:pPr>
        <w:pStyle w:val="NormalWeb"/>
        <w:spacing w:before="0" w:beforeAutospacing="0" w:after="0" w:afterAutospacing="0"/>
        <w:rPr>
          <w:rFonts w:asciiTheme="minorHAnsi" w:hAnsiTheme="minorHAnsi" w:cs="Arial"/>
          <w:color w:val="1F497D" w:themeColor="text2"/>
          <w:sz w:val="22"/>
          <w:szCs w:val="22"/>
        </w:rPr>
      </w:pPr>
      <w:r w:rsidRPr="00257773">
        <w:rPr>
          <w:rFonts w:asciiTheme="minorHAnsi" w:hAnsiTheme="minorHAnsi" w:cs="Arial"/>
          <w:color w:val="1F497D" w:themeColor="text2"/>
          <w:sz w:val="22"/>
          <w:szCs w:val="22"/>
        </w:rPr>
        <w:t>For purchases exceeding £100</w:t>
      </w:r>
      <w:r w:rsidR="00AD44F3" w:rsidRPr="00257773">
        <w:rPr>
          <w:rFonts w:asciiTheme="minorHAnsi" w:hAnsiTheme="minorHAnsi" w:cs="Arial"/>
          <w:color w:val="1F497D" w:themeColor="text2"/>
          <w:sz w:val="22"/>
          <w:szCs w:val="22"/>
        </w:rPr>
        <w:t>,000</w:t>
      </w:r>
      <w:r w:rsidRPr="00257773">
        <w:rPr>
          <w:rFonts w:asciiTheme="minorHAnsi" w:hAnsiTheme="minorHAnsi" w:cs="Arial"/>
          <w:color w:val="1F497D" w:themeColor="text2"/>
          <w:sz w:val="22"/>
          <w:szCs w:val="22"/>
        </w:rPr>
        <w:t xml:space="preserve"> (ex-VAT), or for purchases </w:t>
      </w:r>
      <w:r w:rsidR="00ED28D4">
        <w:rPr>
          <w:rFonts w:asciiTheme="minorHAnsi" w:hAnsiTheme="minorHAnsi" w:cs="Arial"/>
          <w:color w:val="1F497D" w:themeColor="text2"/>
          <w:sz w:val="22"/>
          <w:szCs w:val="22"/>
        </w:rPr>
        <w:t xml:space="preserve">less than </w:t>
      </w:r>
      <w:r w:rsidRPr="00257773">
        <w:rPr>
          <w:rFonts w:asciiTheme="minorHAnsi" w:hAnsiTheme="minorHAnsi" w:cs="Arial"/>
          <w:color w:val="1F497D" w:themeColor="text2"/>
          <w:sz w:val="22"/>
          <w:szCs w:val="22"/>
        </w:rPr>
        <w:t>£100</w:t>
      </w:r>
      <w:r w:rsidR="00AD44F3" w:rsidRPr="00257773">
        <w:rPr>
          <w:rFonts w:asciiTheme="minorHAnsi" w:hAnsiTheme="minorHAnsi" w:cs="Arial"/>
          <w:color w:val="1F497D" w:themeColor="text2"/>
          <w:sz w:val="22"/>
          <w:szCs w:val="22"/>
        </w:rPr>
        <w:t>,000</w:t>
      </w:r>
      <w:r w:rsidR="00ED28D4">
        <w:rPr>
          <w:rFonts w:asciiTheme="minorHAnsi" w:hAnsiTheme="minorHAnsi" w:cs="Arial"/>
          <w:color w:val="1F497D" w:themeColor="text2"/>
          <w:sz w:val="22"/>
          <w:szCs w:val="22"/>
        </w:rPr>
        <w:t xml:space="preserve"> (ex-VAT)</w:t>
      </w:r>
      <w:r w:rsidR="00AD44F3" w:rsidRPr="00257773">
        <w:rPr>
          <w:rFonts w:asciiTheme="minorHAnsi" w:hAnsiTheme="minorHAnsi" w:cs="Arial"/>
          <w:color w:val="1F497D" w:themeColor="text2"/>
          <w:sz w:val="22"/>
          <w:szCs w:val="22"/>
        </w:rPr>
        <w:t xml:space="preserve"> that</w:t>
      </w:r>
      <w:r w:rsidRPr="00257773">
        <w:rPr>
          <w:rFonts w:asciiTheme="minorHAnsi" w:hAnsiTheme="minorHAnsi" w:cs="Arial"/>
          <w:color w:val="1F497D" w:themeColor="text2"/>
          <w:sz w:val="22"/>
          <w:szCs w:val="22"/>
        </w:rPr>
        <w:t xml:space="preserve"> are not on the University’s terms and conditions</w:t>
      </w:r>
      <w:r w:rsidR="00AD44F3" w:rsidRPr="00257773">
        <w:rPr>
          <w:rFonts w:asciiTheme="minorHAnsi" w:hAnsiTheme="minorHAnsi" w:cs="Arial"/>
          <w:color w:val="1F497D" w:themeColor="text2"/>
          <w:sz w:val="22"/>
          <w:szCs w:val="22"/>
        </w:rPr>
        <w:t>,</w:t>
      </w:r>
      <w:r w:rsidRPr="00257773">
        <w:rPr>
          <w:rFonts w:asciiTheme="minorHAnsi" w:hAnsiTheme="minorHAnsi" w:cs="Arial"/>
          <w:color w:val="1F497D" w:themeColor="text2"/>
          <w:sz w:val="22"/>
          <w:szCs w:val="22"/>
        </w:rPr>
        <w:t xml:space="preserve"> the exemption </w:t>
      </w:r>
      <w:r w:rsidRPr="00ED28D4">
        <w:rPr>
          <w:rFonts w:asciiTheme="minorHAnsi" w:hAnsiTheme="minorHAnsi" w:cs="Arial"/>
          <w:b/>
          <w:color w:val="1F497D" w:themeColor="text2"/>
          <w:sz w:val="22"/>
          <w:szCs w:val="22"/>
        </w:rPr>
        <w:t>must also be signed by the Purchasing Department</w:t>
      </w:r>
      <w:r w:rsidRPr="00257773">
        <w:rPr>
          <w:rFonts w:asciiTheme="minorHAnsi" w:hAnsiTheme="minorHAnsi" w:cs="Arial"/>
          <w:color w:val="1F497D" w:themeColor="text2"/>
          <w:sz w:val="22"/>
          <w:szCs w:val="22"/>
        </w:rPr>
        <w:t>.</w:t>
      </w:r>
      <w:r w:rsidR="00E80A4F">
        <w:rPr>
          <w:rFonts w:asciiTheme="minorHAnsi" w:hAnsiTheme="minorHAnsi" w:cs="Arial"/>
          <w:color w:val="1F497D" w:themeColor="text2"/>
          <w:sz w:val="22"/>
          <w:szCs w:val="22"/>
        </w:rPr>
        <w:t xml:space="preserve"> (</w:t>
      </w:r>
      <w:r w:rsidR="00E80A4F" w:rsidRPr="00E80A4F">
        <w:rPr>
          <w:rFonts w:asciiTheme="minorHAnsi" w:hAnsiTheme="minorHAnsi" w:cs="Arial"/>
          <w:i/>
          <w:color w:val="1F497D" w:themeColor="text2"/>
          <w:sz w:val="22"/>
          <w:szCs w:val="22"/>
        </w:rPr>
        <w:t>Note: in Estates Services only, all exemptions exceeding £25,000 must also be signed by the Purchasing Department</w:t>
      </w:r>
      <w:r w:rsidR="00E80A4F">
        <w:rPr>
          <w:rFonts w:asciiTheme="minorHAnsi" w:hAnsiTheme="minorHAnsi" w:cs="Arial"/>
          <w:color w:val="1F497D" w:themeColor="text2"/>
          <w:sz w:val="22"/>
          <w:szCs w:val="22"/>
        </w:rPr>
        <w:t>.)</w:t>
      </w:r>
      <w:r w:rsidRPr="00257773">
        <w:rPr>
          <w:rFonts w:asciiTheme="minorHAnsi" w:hAnsiTheme="minorHAnsi" w:cs="Arial"/>
          <w:color w:val="1F497D" w:themeColor="text2"/>
          <w:sz w:val="22"/>
          <w:szCs w:val="22"/>
        </w:rPr>
        <w:t xml:space="preserve"> </w:t>
      </w:r>
    </w:p>
    <w:p w14:paraId="342F9A36" w14:textId="77777777" w:rsidR="007A305C" w:rsidRPr="00FE7ADB" w:rsidRDefault="007A305C" w:rsidP="00287C92">
      <w:pPr>
        <w:pStyle w:val="NormalWeb"/>
        <w:spacing w:before="0" w:beforeAutospacing="0" w:after="0" w:afterAutospacing="0"/>
        <w:rPr>
          <w:rFonts w:asciiTheme="minorHAnsi" w:hAnsiTheme="minorHAnsi" w:cs="Arial"/>
          <w:color w:val="1F497D" w:themeColor="text2"/>
          <w:sz w:val="22"/>
          <w:szCs w:val="22"/>
        </w:rPr>
      </w:pPr>
    </w:p>
    <w:p w14:paraId="342F9A37" w14:textId="77777777" w:rsidR="000F04DC" w:rsidRPr="00257773" w:rsidRDefault="00086B02" w:rsidP="00086B02">
      <w:pPr>
        <w:pStyle w:val="NormalWeb"/>
        <w:spacing w:before="0" w:beforeAutospacing="0" w:after="0" w:afterAutospacing="0"/>
        <w:rPr>
          <w:rFonts w:asciiTheme="minorHAnsi" w:hAnsiTheme="minorHAnsi" w:cs="Arial"/>
          <w:color w:val="1F497D" w:themeColor="text2"/>
          <w:sz w:val="22"/>
          <w:szCs w:val="22"/>
        </w:rPr>
      </w:pPr>
      <w:r w:rsidRPr="00257773">
        <w:rPr>
          <w:rFonts w:asciiTheme="minorHAnsi" w:hAnsiTheme="minorHAnsi" w:cs="Arial"/>
          <w:color w:val="1F497D" w:themeColor="text2"/>
          <w:sz w:val="22"/>
          <w:szCs w:val="22"/>
        </w:rPr>
        <w:t xml:space="preserve">In </w:t>
      </w:r>
      <w:r w:rsidRPr="00ED28D4">
        <w:rPr>
          <w:rFonts w:asciiTheme="minorHAnsi" w:hAnsiTheme="minorHAnsi" w:cs="Arial"/>
          <w:color w:val="1F497D" w:themeColor="text2"/>
          <w:sz w:val="22"/>
          <w:szCs w:val="22"/>
        </w:rPr>
        <w:t>very</w:t>
      </w:r>
      <w:r w:rsidRPr="00257773">
        <w:rPr>
          <w:rFonts w:asciiTheme="minorHAnsi" w:hAnsiTheme="minorHAnsi" w:cs="Arial"/>
          <w:color w:val="1F497D" w:themeColor="text2"/>
          <w:sz w:val="22"/>
          <w:szCs w:val="22"/>
        </w:rPr>
        <w:t xml:space="preserve"> exceptional circumstances</w:t>
      </w:r>
      <w:r w:rsidR="001E7CCA" w:rsidRPr="00257773">
        <w:rPr>
          <w:rFonts w:asciiTheme="minorHAnsi" w:hAnsiTheme="minorHAnsi" w:cs="Arial"/>
          <w:color w:val="1F497D" w:themeColor="text2"/>
          <w:sz w:val="22"/>
          <w:szCs w:val="22"/>
        </w:rPr>
        <w:t>,</w:t>
      </w:r>
      <w:r w:rsidRPr="00257773">
        <w:rPr>
          <w:rFonts w:asciiTheme="minorHAnsi" w:hAnsiTheme="minorHAnsi" w:cs="Arial"/>
          <w:color w:val="1F497D" w:themeColor="text2"/>
          <w:sz w:val="22"/>
          <w:szCs w:val="22"/>
        </w:rPr>
        <w:t xml:space="preserve"> an exemption may be granted where the </w:t>
      </w:r>
      <w:r w:rsidR="001E7CCA" w:rsidRPr="00257773">
        <w:rPr>
          <w:rFonts w:asciiTheme="minorHAnsi" w:hAnsiTheme="minorHAnsi" w:cs="Arial"/>
          <w:color w:val="1F497D" w:themeColor="text2"/>
          <w:sz w:val="22"/>
          <w:szCs w:val="22"/>
        </w:rPr>
        <w:t>usual</w:t>
      </w:r>
      <w:r w:rsidRPr="00257773">
        <w:rPr>
          <w:rFonts w:asciiTheme="minorHAnsi" w:hAnsiTheme="minorHAnsi" w:cs="Arial"/>
          <w:color w:val="1F497D" w:themeColor="text2"/>
          <w:sz w:val="22"/>
          <w:szCs w:val="22"/>
        </w:rPr>
        <w:t xml:space="preserve"> requirements for a</w:t>
      </w:r>
      <w:r w:rsidR="000F04DC" w:rsidRPr="00257773">
        <w:rPr>
          <w:rFonts w:asciiTheme="minorHAnsi" w:hAnsiTheme="minorHAnsi" w:cs="Arial"/>
          <w:color w:val="1F497D" w:themeColor="text2"/>
          <w:sz w:val="22"/>
          <w:szCs w:val="22"/>
        </w:rPr>
        <w:t>n exemption</w:t>
      </w:r>
      <w:r w:rsidRPr="00257773">
        <w:rPr>
          <w:rFonts w:asciiTheme="minorHAnsi" w:hAnsiTheme="minorHAnsi" w:cs="Arial"/>
          <w:color w:val="1F497D" w:themeColor="text2"/>
          <w:sz w:val="22"/>
          <w:szCs w:val="22"/>
        </w:rPr>
        <w:t xml:space="preserve"> cannot be met, but where the action is deemed to be in the </w:t>
      </w:r>
      <w:r w:rsidRPr="00ED28D4">
        <w:rPr>
          <w:rFonts w:asciiTheme="minorHAnsi" w:hAnsiTheme="minorHAnsi" w:cs="Arial"/>
          <w:color w:val="1F497D" w:themeColor="text2"/>
          <w:sz w:val="22"/>
          <w:szCs w:val="22"/>
          <w:u w:val="single"/>
        </w:rPr>
        <w:t>overriding interests of the University</w:t>
      </w:r>
      <w:r w:rsidR="000F04DC" w:rsidRPr="00257773">
        <w:rPr>
          <w:rFonts w:asciiTheme="minorHAnsi" w:hAnsiTheme="minorHAnsi" w:cs="Arial"/>
          <w:color w:val="1F497D" w:themeColor="text2"/>
          <w:sz w:val="22"/>
          <w:szCs w:val="22"/>
        </w:rPr>
        <w:t>, for example:</w:t>
      </w:r>
    </w:p>
    <w:p w14:paraId="342F9A38" w14:textId="77777777" w:rsidR="000F04DC" w:rsidRPr="00257773" w:rsidRDefault="00086B02" w:rsidP="000F04DC">
      <w:pPr>
        <w:pStyle w:val="NormalWeb"/>
        <w:numPr>
          <w:ilvl w:val="0"/>
          <w:numId w:val="14"/>
        </w:numPr>
        <w:spacing w:before="0" w:beforeAutospacing="0" w:after="0" w:afterAutospacing="0"/>
        <w:rPr>
          <w:rFonts w:asciiTheme="minorHAnsi" w:hAnsiTheme="minorHAnsi" w:cs="Arial"/>
          <w:color w:val="1F497D" w:themeColor="text2"/>
          <w:sz w:val="22"/>
          <w:szCs w:val="22"/>
        </w:rPr>
      </w:pPr>
      <w:r w:rsidRPr="00257773">
        <w:rPr>
          <w:rFonts w:asciiTheme="minorHAnsi" w:hAnsiTheme="minorHAnsi" w:cs="Arial"/>
          <w:color w:val="1F497D" w:themeColor="text2"/>
          <w:sz w:val="22"/>
          <w:szCs w:val="22"/>
        </w:rPr>
        <w:t xml:space="preserve"> where the</w:t>
      </w:r>
      <w:r w:rsidR="00E45880" w:rsidRPr="00257773">
        <w:rPr>
          <w:rFonts w:asciiTheme="minorHAnsi" w:hAnsiTheme="minorHAnsi" w:cs="Arial"/>
          <w:color w:val="1F497D" w:themeColor="text2"/>
          <w:sz w:val="22"/>
          <w:szCs w:val="22"/>
        </w:rPr>
        <w:t xml:space="preserve">re </w:t>
      </w:r>
      <w:r w:rsidRPr="00257773">
        <w:rPr>
          <w:rFonts w:asciiTheme="minorHAnsi" w:hAnsiTheme="minorHAnsi" w:cs="Arial"/>
          <w:color w:val="1F497D" w:themeColor="text2"/>
          <w:sz w:val="22"/>
          <w:szCs w:val="22"/>
        </w:rPr>
        <w:t>is a risk of losing</w:t>
      </w:r>
      <w:r w:rsidR="001E7CCA" w:rsidRPr="00257773">
        <w:rPr>
          <w:rFonts w:asciiTheme="minorHAnsi" w:hAnsiTheme="minorHAnsi" w:cs="Arial"/>
          <w:color w:val="1F497D" w:themeColor="text2"/>
          <w:sz w:val="22"/>
          <w:szCs w:val="22"/>
        </w:rPr>
        <w:t xml:space="preserve"> significant</w:t>
      </w:r>
      <w:r w:rsidRPr="00257773">
        <w:rPr>
          <w:rFonts w:asciiTheme="minorHAnsi" w:hAnsiTheme="minorHAnsi" w:cs="Arial"/>
          <w:color w:val="1F497D" w:themeColor="text2"/>
          <w:sz w:val="22"/>
          <w:szCs w:val="22"/>
        </w:rPr>
        <w:t xml:space="preserve"> grant funding</w:t>
      </w:r>
      <w:r w:rsidR="00EF6445" w:rsidRPr="00257773">
        <w:rPr>
          <w:rFonts w:asciiTheme="minorHAnsi" w:hAnsiTheme="minorHAnsi" w:cs="Arial"/>
          <w:color w:val="1F497D" w:themeColor="text2"/>
          <w:sz w:val="22"/>
          <w:szCs w:val="22"/>
        </w:rPr>
        <w:t xml:space="preserve"> </w:t>
      </w:r>
    </w:p>
    <w:p w14:paraId="342F9A39" w14:textId="77777777" w:rsidR="000F04DC" w:rsidRPr="00257773" w:rsidRDefault="00086B02" w:rsidP="000F04DC">
      <w:pPr>
        <w:pStyle w:val="NormalWeb"/>
        <w:numPr>
          <w:ilvl w:val="0"/>
          <w:numId w:val="14"/>
        </w:numPr>
        <w:spacing w:before="0" w:beforeAutospacing="0" w:after="0" w:afterAutospacing="0"/>
        <w:rPr>
          <w:rFonts w:asciiTheme="minorHAnsi" w:hAnsiTheme="minorHAnsi" w:cs="Arial"/>
          <w:color w:val="1F497D" w:themeColor="text2"/>
          <w:sz w:val="22"/>
          <w:szCs w:val="22"/>
        </w:rPr>
      </w:pPr>
      <w:r w:rsidRPr="00257773">
        <w:rPr>
          <w:rFonts w:asciiTheme="minorHAnsi" w:hAnsiTheme="minorHAnsi" w:cs="Arial"/>
          <w:color w:val="1F497D" w:themeColor="text2"/>
          <w:sz w:val="22"/>
          <w:szCs w:val="22"/>
        </w:rPr>
        <w:t xml:space="preserve"> where an instruction</w:t>
      </w:r>
      <w:r w:rsidR="00EF6445" w:rsidRPr="00257773">
        <w:rPr>
          <w:rFonts w:asciiTheme="minorHAnsi" w:hAnsiTheme="minorHAnsi" w:cs="Arial"/>
          <w:color w:val="1F497D" w:themeColor="text2"/>
          <w:sz w:val="22"/>
          <w:szCs w:val="22"/>
        </w:rPr>
        <w:t xml:space="preserve"> for work</w:t>
      </w:r>
      <w:r w:rsidRPr="00257773">
        <w:rPr>
          <w:rFonts w:asciiTheme="minorHAnsi" w:hAnsiTheme="minorHAnsi" w:cs="Arial"/>
          <w:color w:val="1F497D" w:themeColor="text2"/>
          <w:sz w:val="22"/>
          <w:szCs w:val="22"/>
        </w:rPr>
        <w:t xml:space="preserve"> has been received by a central service department</w:t>
      </w:r>
      <w:r w:rsidR="00EF6445" w:rsidRPr="00257773">
        <w:rPr>
          <w:rFonts w:asciiTheme="minorHAnsi" w:hAnsiTheme="minorHAnsi" w:cs="Arial"/>
          <w:color w:val="1F497D" w:themeColor="text2"/>
          <w:sz w:val="22"/>
          <w:szCs w:val="22"/>
        </w:rPr>
        <w:t xml:space="preserve"> </w:t>
      </w:r>
      <w:r w:rsidRPr="00257773">
        <w:rPr>
          <w:rFonts w:asciiTheme="minorHAnsi" w:hAnsiTheme="minorHAnsi" w:cs="Arial"/>
          <w:color w:val="1F497D" w:themeColor="text2"/>
          <w:sz w:val="22"/>
          <w:szCs w:val="22"/>
        </w:rPr>
        <w:t>(e.g. Estates Services) and the timescales associated with the instruction do not allow for a competi</w:t>
      </w:r>
      <w:r w:rsidR="00E45880" w:rsidRPr="00257773">
        <w:rPr>
          <w:rFonts w:asciiTheme="minorHAnsi" w:hAnsiTheme="minorHAnsi" w:cs="Arial"/>
          <w:color w:val="1F497D" w:themeColor="text2"/>
          <w:sz w:val="22"/>
          <w:szCs w:val="22"/>
        </w:rPr>
        <w:t>ti</w:t>
      </w:r>
      <w:r w:rsidR="000F04DC" w:rsidRPr="00257773">
        <w:rPr>
          <w:rFonts w:asciiTheme="minorHAnsi" w:hAnsiTheme="minorHAnsi" w:cs="Arial"/>
          <w:color w:val="1F497D" w:themeColor="text2"/>
          <w:sz w:val="22"/>
          <w:szCs w:val="22"/>
        </w:rPr>
        <w:t>ve process</w:t>
      </w:r>
      <w:r w:rsidRPr="00257773">
        <w:rPr>
          <w:rFonts w:asciiTheme="minorHAnsi" w:hAnsiTheme="minorHAnsi" w:cs="Arial"/>
          <w:color w:val="1F497D" w:themeColor="text2"/>
          <w:sz w:val="22"/>
          <w:szCs w:val="22"/>
        </w:rPr>
        <w:t xml:space="preserve">. </w:t>
      </w:r>
    </w:p>
    <w:p w14:paraId="342F9A3A" w14:textId="77777777" w:rsidR="000F04DC" w:rsidRPr="00FE7ADB" w:rsidRDefault="000F04DC" w:rsidP="000F04DC">
      <w:pPr>
        <w:pStyle w:val="NormalWeb"/>
        <w:spacing w:before="0" w:beforeAutospacing="0" w:after="0" w:afterAutospacing="0"/>
        <w:rPr>
          <w:rFonts w:asciiTheme="minorHAnsi" w:hAnsiTheme="minorHAnsi" w:cs="Arial"/>
          <w:b/>
          <w:color w:val="1F497D" w:themeColor="text2"/>
          <w:sz w:val="12"/>
          <w:szCs w:val="12"/>
        </w:rPr>
      </w:pPr>
    </w:p>
    <w:p w14:paraId="342F9A3B" w14:textId="77777777" w:rsidR="00086B02" w:rsidRPr="00257773" w:rsidRDefault="00086B02" w:rsidP="000F04DC">
      <w:pPr>
        <w:pStyle w:val="NormalWeb"/>
        <w:spacing w:before="0" w:beforeAutospacing="0" w:after="0" w:afterAutospacing="0"/>
        <w:rPr>
          <w:rFonts w:asciiTheme="minorHAnsi" w:hAnsiTheme="minorHAnsi" w:cs="Arial"/>
          <w:color w:val="1F497D" w:themeColor="text2"/>
          <w:sz w:val="22"/>
          <w:szCs w:val="22"/>
        </w:rPr>
      </w:pPr>
      <w:r w:rsidRPr="00257773">
        <w:rPr>
          <w:rFonts w:asciiTheme="minorHAnsi" w:hAnsiTheme="minorHAnsi" w:cs="Arial"/>
          <w:color w:val="1F497D" w:themeColor="text2"/>
          <w:sz w:val="22"/>
          <w:szCs w:val="22"/>
        </w:rPr>
        <w:t>Such exemptions must</w:t>
      </w:r>
      <w:r w:rsidR="00ED28D4">
        <w:rPr>
          <w:rFonts w:asciiTheme="minorHAnsi" w:hAnsiTheme="minorHAnsi" w:cs="Arial"/>
          <w:b/>
          <w:color w:val="1F497D" w:themeColor="text2"/>
          <w:sz w:val="22"/>
          <w:szCs w:val="22"/>
        </w:rPr>
        <w:t xml:space="preserve"> also be signed by either</w:t>
      </w:r>
      <w:r w:rsidRPr="00257773">
        <w:rPr>
          <w:rFonts w:asciiTheme="minorHAnsi" w:hAnsiTheme="minorHAnsi" w:cs="Arial"/>
          <w:color w:val="1F497D" w:themeColor="text2"/>
          <w:sz w:val="22"/>
          <w:szCs w:val="22"/>
        </w:rPr>
        <w:t xml:space="preserve"> </w:t>
      </w:r>
      <w:r w:rsidRPr="00ED28D4">
        <w:rPr>
          <w:rFonts w:asciiTheme="minorHAnsi" w:hAnsiTheme="minorHAnsi" w:cs="Arial"/>
          <w:b/>
          <w:color w:val="1F497D" w:themeColor="text2"/>
          <w:sz w:val="22"/>
          <w:szCs w:val="22"/>
        </w:rPr>
        <w:t>the Director of Purchasing or Director of Finance</w:t>
      </w:r>
      <w:r w:rsidR="001E7CCA" w:rsidRPr="00257773">
        <w:rPr>
          <w:rFonts w:asciiTheme="minorHAnsi" w:hAnsiTheme="minorHAnsi" w:cs="Arial"/>
          <w:color w:val="1F497D" w:themeColor="text2"/>
          <w:sz w:val="22"/>
          <w:szCs w:val="22"/>
        </w:rPr>
        <w:t xml:space="preserve">, and must </w:t>
      </w:r>
      <w:r w:rsidR="00E45880" w:rsidRPr="00257773">
        <w:rPr>
          <w:rFonts w:asciiTheme="minorHAnsi" w:hAnsiTheme="minorHAnsi" w:cs="Arial"/>
          <w:color w:val="1F497D" w:themeColor="text2"/>
          <w:sz w:val="22"/>
          <w:szCs w:val="22"/>
        </w:rPr>
        <w:t xml:space="preserve">provide </w:t>
      </w:r>
      <w:r w:rsidR="001E7CCA" w:rsidRPr="00257773">
        <w:rPr>
          <w:rFonts w:asciiTheme="minorHAnsi" w:hAnsiTheme="minorHAnsi" w:cs="Arial"/>
          <w:color w:val="1F497D" w:themeColor="text2"/>
          <w:sz w:val="22"/>
          <w:szCs w:val="22"/>
        </w:rPr>
        <w:t>demonstra</w:t>
      </w:r>
      <w:r w:rsidR="00E45880" w:rsidRPr="00257773">
        <w:rPr>
          <w:rFonts w:asciiTheme="minorHAnsi" w:hAnsiTheme="minorHAnsi" w:cs="Arial"/>
          <w:color w:val="1F497D" w:themeColor="text2"/>
          <w:sz w:val="22"/>
          <w:szCs w:val="22"/>
        </w:rPr>
        <w:t>ble value for money</w:t>
      </w:r>
      <w:r w:rsidR="001E7CCA" w:rsidRPr="00257773">
        <w:rPr>
          <w:rFonts w:asciiTheme="minorHAnsi" w:hAnsiTheme="minorHAnsi" w:cs="Arial"/>
          <w:color w:val="1F497D" w:themeColor="text2"/>
          <w:sz w:val="22"/>
          <w:szCs w:val="22"/>
        </w:rPr>
        <w:t>.</w:t>
      </w:r>
    </w:p>
    <w:p w14:paraId="342F9A3C" w14:textId="77777777" w:rsidR="00086B02" w:rsidRPr="00FE7ADB" w:rsidRDefault="00086B02" w:rsidP="00086B02">
      <w:pPr>
        <w:pStyle w:val="NormalWeb"/>
        <w:spacing w:before="0" w:beforeAutospacing="0" w:after="0" w:afterAutospacing="0"/>
        <w:rPr>
          <w:rFonts w:asciiTheme="minorHAnsi" w:hAnsiTheme="minorHAnsi" w:cs="Arial"/>
          <w:color w:val="1F497D" w:themeColor="text2"/>
          <w:sz w:val="22"/>
          <w:szCs w:val="22"/>
        </w:rPr>
      </w:pPr>
    </w:p>
    <w:p w14:paraId="342F9A3D" w14:textId="77777777" w:rsidR="000A2E33" w:rsidRPr="00257773" w:rsidRDefault="00ED28D4" w:rsidP="00086B02">
      <w:pPr>
        <w:pStyle w:val="NormalWeb"/>
        <w:spacing w:before="0" w:beforeAutospacing="0" w:after="120" w:afterAutospacing="0"/>
        <w:rPr>
          <w:rFonts w:asciiTheme="minorHAnsi" w:hAnsiTheme="minorHAnsi" w:cs="Arial"/>
          <w:b/>
          <w:color w:val="1F497D" w:themeColor="text2"/>
          <w:sz w:val="22"/>
          <w:szCs w:val="22"/>
        </w:rPr>
      </w:pPr>
      <w:r>
        <w:rPr>
          <w:rFonts w:asciiTheme="minorHAnsi" w:hAnsiTheme="minorHAnsi" w:cs="Arial"/>
          <w:b/>
          <w:color w:val="1F497D" w:themeColor="text2"/>
          <w:sz w:val="22"/>
          <w:szCs w:val="22"/>
        </w:rPr>
        <w:t xml:space="preserve">Supporting </w:t>
      </w:r>
      <w:r w:rsidR="002171AE">
        <w:rPr>
          <w:rFonts w:asciiTheme="minorHAnsi" w:hAnsiTheme="minorHAnsi" w:cs="Arial"/>
          <w:b/>
          <w:color w:val="1F497D" w:themeColor="text2"/>
          <w:sz w:val="22"/>
          <w:szCs w:val="22"/>
        </w:rPr>
        <w:t>f</w:t>
      </w:r>
      <w:r w:rsidR="000A2E33" w:rsidRPr="00257773">
        <w:rPr>
          <w:rFonts w:asciiTheme="minorHAnsi" w:hAnsiTheme="minorHAnsi" w:cs="Arial"/>
          <w:b/>
          <w:color w:val="1F497D" w:themeColor="text2"/>
          <w:sz w:val="22"/>
          <w:szCs w:val="22"/>
        </w:rPr>
        <w:t>actors</w:t>
      </w:r>
      <w:r>
        <w:rPr>
          <w:rFonts w:asciiTheme="minorHAnsi" w:hAnsiTheme="minorHAnsi" w:cs="Arial"/>
          <w:b/>
          <w:color w:val="1F497D" w:themeColor="text2"/>
          <w:sz w:val="22"/>
          <w:szCs w:val="22"/>
        </w:rPr>
        <w:t xml:space="preserve"> to consider in deciding w</w:t>
      </w:r>
      <w:r w:rsidR="000A2E33" w:rsidRPr="00257773">
        <w:rPr>
          <w:rFonts w:asciiTheme="minorHAnsi" w:hAnsiTheme="minorHAnsi" w:cs="Arial"/>
          <w:b/>
          <w:color w:val="1F497D" w:themeColor="text2"/>
          <w:sz w:val="22"/>
          <w:szCs w:val="22"/>
        </w:rPr>
        <w:t>hether an exemption is appropriate</w:t>
      </w:r>
    </w:p>
    <w:p w14:paraId="342F9A3E" w14:textId="77777777" w:rsidR="00895C26" w:rsidRPr="00257773" w:rsidRDefault="000A2E33" w:rsidP="00086B02">
      <w:pPr>
        <w:pStyle w:val="NormalWeb"/>
        <w:spacing w:before="0" w:beforeAutospacing="0" w:after="120" w:afterAutospacing="0"/>
        <w:rPr>
          <w:rFonts w:asciiTheme="minorHAnsi" w:hAnsiTheme="minorHAnsi" w:cs="Arial"/>
          <w:color w:val="1F497D" w:themeColor="text2"/>
          <w:sz w:val="22"/>
          <w:szCs w:val="22"/>
        </w:rPr>
      </w:pPr>
      <w:r w:rsidRPr="00257773">
        <w:rPr>
          <w:rFonts w:asciiTheme="minorHAnsi" w:hAnsiTheme="minorHAnsi" w:cs="Arial"/>
          <w:color w:val="1F497D" w:themeColor="text2"/>
          <w:sz w:val="22"/>
          <w:szCs w:val="22"/>
        </w:rPr>
        <w:t>In determining whether an exemption is appropriate, the</w:t>
      </w:r>
      <w:r w:rsidR="00EC3121" w:rsidRPr="00257773">
        <w:rPr>
          <w:rFonts w:asciiTheme="minorHAnsi" w:hAnsiTheme="minorHAnsi" w:cs="Arial"/>
          <w:color w:val="1F497D" w:themeColor="text2"/>
          <w:sz w:val="22"/>
          <w:szCs w:val="22"/>
        </w:rPr>
        <w:t xml:space="preserve"> following points </w:t>
      </w:r>
      <w:r w:rsidR="00C16A6B">
        <w:rPr>
          <w:rFonts w:asciiTheme="minorHAnsi" w:hAnsiTheme="minorHAnsi" w:cs="Arial"/>
          <w:color w:val="1F497D" w:themeColor="text2"/>
          <w:sz w:val="22"/>
          <w:szCs w:val="22"/>
        </w:rPr>
        <w:t>should</w:t>
      </w:r>
      <w:r w:rsidR="00EC3121" w:rsidRPr="00257773">
        <w:rPr>
          <w:rFonts w:asciiTheme="minorHAnsi" w:hAnsiTheme="minorHAnsi" w:cs="Arial"/>
          <w:color w:val="1F497D" w:themeColor="text2"/>
          <w:sz w:val="22"/>
          <w:szCs w:val="22"/>
        </w:rPr>
        <w:t xml:space="preserve"> be considered</w:t>
      </w:r>
      <w:r w:rsidR="00DE6626" w:rsidRPr="00257773">
        <w:rPr>
          <w:rFonts w:asciiTheme="minorHAnsi" w:hAnsiTheme="minorHAnsi" w:cs="Arial"/>
          <w:color w:val="1F497D" w:themeColor="text2"/>
          <w:sz w:val="22"/>
          <w:szCs w:val="22"/>
        </w:rPr>
        <w:t xml:space="preserve"> and</w:t>
      </w:r>
      <w:r w:rsidRPr="00257773">
        <w:rPr>
          <w:rFonts w:asciiTheme="minorHAnsi" w:hAnsiTheme="minorHAnsi" w:cs="Arial"/>
          <w:color w:val="1F497D" w:themeColor="text2"/>
          <w:sz w:val="22"/>
          <w:szCs w:val="22"/>
        </w:rPr>
        <w:t>,</w:t>
      </w:r>
      <w:r w:rsidR="00DE6626" w:rsidRPr="00257773">
        <w:rPr>
          <w:rFonts w:asciiTheme="minorHAnsi" w:hAnsiTheme="minorHAnsi" w:cs="Arial"/>
          <w:color w:val="1F497D" w:themeColor="text2"/>
          <w:sz w:val="22"/>
          <w:szCs w:val="22"/>
        </w:rPr>
        <w:t xml:space="preserve"> where relevant</w:t>
      </w:r>
      <w:r w:rsidRPr="00257773">
        <w:rPr>
          <w:rFonts w:asciiTheme="minorHAnsi" w:hAnsiTheme="minorHAnsi" w:cs="Arial"/>
          <w:color w:val="1F497D" w:themeColor="text2"/>
          <w:sz w:val="22"/>
          <w:szCs w:val="22"/>
        </w:rPr>
        <w:t xml:space="preserve">, included in the </w:t>
      </w:r>
      <w:hyperlink r:id="rId13" w:history="1">
        <w:r w:rsidRPr="00636177">
          <w:rPr>
            <w:rStyle w:val="Hyperlink"/>
            <w:rFonts w:asciiTheme="minorHAnsi" w:hAnsiTheme="minorHAnsi" w:cs="Arial"/>
            <w:sz w:val="22"/>
            <w:szCs w:val="22"/>
          </w:rPr>
          <w:t>Tender Exemption Request Form</w:t>
        </w:r>
      </w:hyperlink>
      <w:r w:rsidR="007A6E00" w:rsidRPr="00257773">
        <w:rPr>
          <w:rFonts w:asciiTheme="minorHAnsi" w:hAnsiTheme="minorHAnsi" w:cs="Arial"/>
          <w:color w:val="1F497D" w:themeColor="text2"/>
          <w:sz w:val="22"/>
          <w:szCs w:val="22"/>
        </w:rPr>
        <w:t>:</w:t>
      </w:r>
    </w:p>
    <w:p w14:paraId="342F9A3F" w14:textId="77777777" w:rsidR="00EC3121" w:rsidRDefault="00A94D7D" w:rsidP="00EF7FD9">
      <w:pPr>
        <w:pStyle w:val="NormalWeb"/>
        <w:numPr>
          <w:ilvl w:val="0"/>
          <w:numId w:val="10"/>
        </w:numPr>
        <w:spacing w:before="0" w:beforeAutospacing="0" w:after="60" w:afterAutospacing="0"/>
        <w:rPr>
          <w:rFonts w:asciiTheme="minorHAnsi" w:hAnsiTheme="minorHAnsi" w:cs="Arial"/>
          <w:color w:val="1F497D" w:themeColor="text2"/>
          <w:sz w:val="22"/>
          <w:szCs w:val="22"/>
        </w:rPr>
      </w:pPr>
      <w:r w:rsidRPr="00257773">
        <w:rPr>
          <w:rFonts w:asciiTheme="minorHAnsi" w:hAnsiTheme="minorHAnsi" w:cs="Arial"/>
          <w:color w:val="1F497D" w:themeColor="text2"/>
          <w:sz w:val="22"/>
          <w:szCs w:val="22"/>
        </w:rPr>
        <w:t>Why</w:t>
      </w:r>
      <w:r w:rsidR="00DE6626" w:rsidRPr="00257773">
        <w:rPr>
          <w:rFonts w:asciiTheme="minorHAnsi" w:hAnsiTheme="minorHAnsi" w:cs="Arial"/>
          <w:color w:val="1F497D" w:themeColor="text2"/>
          <w:sz w:val="22"/>
          <w:szCs w:val="22"/>
        </w:rPr>
        <w:t xml:space="preserve"> has</w:t>
      </w:r>
      <w:r w:rsidR="00EC3121" w:rsidRPr="00257773">
        <w:rPr>
          <w:rFonts w:asciiTheme="minorHAnsi" w:hAnsiTheme="minorHAnsi" w:cs="Arial"/>
          <w:color w:val="1F497D" w:themeColor="text2"/>
          <w:sz w:val="22"/>
          <w:szCs w:val="22"/>
        </w:rPr>
        <w:t xml:space="preserve"> the prospective supplier been selected? </w:t>
      </w:r>
    </w:p>
    <w:p w14:paraId="342F9A40" w14:textId="77777777" w:rsidR="00FB76C8" w:rsidRPr="0083274A" w:rsidRDefault="00FB76C8" w:rsidP="00EF7FD9">
      <w:pPr>
        <w:pStyle w:val="NormalWeb"/>
        <w:numPr>
          <w:ilvl w:val="0"/>
          <w:numId w:val="10"/>
        </w:numPr>
        <w:spacing w:before="0" w:beforeAutospacing="0" w:after="60" w:afterAutospacing="0"/>
        <w:rPr>
          <w:rFonts w:asciiTheme="minorHAnsi" w:hAnsiTheme="minorHAnsi" w:cs="Arial"/>
          <w:color w:val="1F497D" w:themeColor="text2"/>
          <w:sz w:val="22"/>
          <w:szCs w:val="22"/>
        </w:rPr>
      </w:pPr>
      <w:r w:rsidRPr="0083274A">
        <w:rPr>
          <w:rFonts w:asciiTheme="minorHAnsi" w:hAnsiTheme="minorHAnsi" w:cs="Arial"/>
          <w:color w:val="1F497D" w:themeColor="text2"/>
          <w:sz w:val="22"/>
          <w:szCs w:val="22"/>
        </w:rPr>
        <w:t xml:space="preserve">Is there a potential or perceived </w:t>
      </w:r>
      <w:hyperlink r:id="rId14" w:history="1">
        <w:r w:rsidRPr="0083274A">
          <w:rPr>
            <w:rStyle w:val="Hyperlink"/>
            <w:rFonts w:asciiTheme="minorHAnsi" w:hAnsiTheme="minorHAnsi" w:cs="Arial"/>
            <w:sz w:val="22"/>
            <w:szCs w:val="22"/>
          </w:rPr>
          <w:t>conflict of interest</w:t>
        </w:r>
      </w:hyperlink>
      <w:r w:rsidR="001A4CCC" w:rsidRPr="0083274A">
        <w:rPr>
          <w:rFonts w:asciiTheme="minorHAnsi" w:hAnsiTheme="minorHAnsi" w:cs="Arial"/>
          <w:color w:val="1F497D" w:themeColor="text2"/>
          <w:sz w:val="22"/>
          <w:szCs w:val="22"/>
        </w:rPr>
        <w:t xml:space="preserve"> that needs review and approval</w:t>
      </w:r>
      <w:r w:rsidRPr="0083274A">
        <w:rPr>
          <w:rFonts w:asciiTheme="minorHAnsi" w:hAnsiTheme="minorHAnsi" w:cs="Arial"/>
          <w:color w:val="1F497D" w:themeColor="text2"/>
          <w:sz w:val="22"/>
          <w:szCs w:val="22"/>
        </w:rPr>
        <w:t>?</w:t>
      </w:r>
    </w:p>
    <w:p w14:paraId="342F9A41" w14:textId="77777777" w:rsidR="00F12622" w:rsidRPr="00257773" w:rsidRDefault="00F12622" w:rsidP="00EF7FD9">
      <w:pPr>
        <w:pStyle w:val="NormalWeb"/>
        <w:numPr>
          <w:ilvl w:val="0"/>
          <w:numId w:val="10"/>
        </w:numPr>
        <w:spacing w:after="60" w:afterAutospacing="0"/>
        <w:rPr>
          <w:rFonts w:asciiTheme="minorHAnsi" w:hAnsiTheme="minorHAnsi" w:cs="Arial"/>
          <w:color w:val="1F497D" w:themeColor="text2"/>
          <w:sz w:val="22"/>
          <w:szCs w:val="22"/>
        </w:rPr>
      </w:pPr>
      <w:r w:rsidRPr="00257773">
        <w:rPr>
          <w:rFonts w:asciiTheme="minorHAnsi" w:hAnsiTheme="minorHAnsi" w:cs="Arial"/>
          <w:color w:val="1F497D" w:themeColor="text2"/>
          <w:sz w:val="22"/>
          <w:szCs w:val="22"/>
        </w:rPr>
        <w:t xml:space="preserve">Has the supplier previously dealt with the </w:t>
      </w:r>
      <w:r w:rsidR="00C35E27">
        <w:rPr>
          <w:rFonts w:asciiTheme="minorHAnsi" w:hAnsiTheme="minorHAnsi" w:cs="Arial"/>
          <w:color w:val="1F497D" w:themeColor="text2"/>
          <w:sz w:val="22"/>
          <w:szCs w:val="22"/>
        </w:rPr>
        <w:t>d</w:t>
      </w:r>
      <w:r w:rsidRPr="00257773">
        <w:rPr>
          <w:rFonts w:asciiTheme="minorHAnsi" w:hAnsiTheme="minorHAnsi" w:cs="Arial"/>
          <w:color w:val="1F497D" w:themeColor="text2"/>
          <w:sz w:val="22"/>
          <w:szCs w:val="22"/>
        </w:rPr>
        <w:t>epartment or wider University?</w:t>
      </w:r>
    </w:p>
    <w:p w14:paraId="342F9A42" w14:textId="77777777" w:rsidR="00EC3121" w:rsidRPr="00257773" w:rsidRDefault="00EC3121" w:rsidP="00EF7FD9">
      <w:pPr>
        <w:pStyle w:val="NormalWeb"/>
        <w:numPr>
          <w:ilvl w:val="0"/>
          <w:numId w:val="10"/>
        </w:numPr>
        <w:spacing w:after="60" w:afterAutospacing="0"/>
        <w:rPr>
          <w:rFonts w:asciiTheme="minorHAnsi" w:hAnsiTheme="minorHAnsi" w:cs="Arial"/>
          <w:color w:val="1F497D" w:themeColor="text2"/>
          <w:sz w:val="22"/>
          <w:szCs w:val="22"/>
        </w:rPr>
      </w:pPr>
      <w:r w:rsidRPr="00257773">
        <w:rPr>
          <w:rFonts w:asciiTheme="minorHAnsi" w:hAnsiTheme="minorHAnsi" w:cs="Arial"/>
          <w:color w:val="1F497D" w:themeColor="text2"/>
          <w:sz w:val="22"/>
          <w:szCs w:val="22"/>
        </w:rPr>
        <w:lastRenderedPageBreak/>
        <w:t>Ha</w:t>
      </w:r>
      <w:r w:rsidR="00DE6626" w:rsidRPr="00257773">
        <w:rPr>
          <w:rFonts w:asciiTheme="minorHAnsi" w:hAnsiTheme="minorHAnsi" w:cs="Arial"/>
          <w:color w:val="1F497D" w:themeColor="text2"/>
          <w:sz w:val="22"/>
          <w:szCs w:val="22"/>
        </w:rPr>
        <w:t>ve</w:t>
      </w:r>
      <w:r w:rsidRPr="00257773">
        <w:rPr>
          <w:rFonts w:asciiTheme="minorHAnsi" w:hAnsiTheme="minorHAnsi" w:cs="Arial"/>
          <w:color w:val="1F497D" w:themeColor="text2"/>
          <w:sz w:val="22"/>
          <w:szCs w:val="22"/>
        </w:rPr>
        <w:t xml:space="preserve"> any evaluation criteria been </w:t>
      </w:r>
      <w:r w:rsidR="008820E7" w:rsidRPr="00257773">
        <w:rPr>
          <w:rFonts w:asciiTheme="minorHAnsi" w:hAnsiTheme="minorHAnsi" w:cs="Arial"/>
          <w:color w:val="1F497D" w:themeColor="text2"/>
          <w:sz w:val="22"/>
          <w:szCs w:val="22"/>
        </w:rPr>
        <w:t>used</w:t>
      </w:r>
      <w:r w:rsidRPr="00257773">
        <w:rPr>
          <w:rFonts w:asciiTheme="minorHAnsi" w:hAnsiTheme="minorHAnsi" w:cs="Arial"/>
          <w:color w:val="1F497D" w:themeColor="text2"/>
          <w:sz w:val="22"/>
          <w:szCs w:val="22"/>
        </w:rPr>
        <w:t xml:space="preserve"> to select the supplier? </w:t>
      </w:r>
    </w:p>
    <w:p w14:paraId="342F9A43" w14:textId="77777777" w:rsidR="00EC3121" w:rsidRPr="00257773" w:rsidRDefault="00EC3121" w:rsidP="00EF7FD9">
      <w:pPr>
        <w:pStyle w:val="NormalWeb"/>
        <w:numPr>
          <w:ilvl w:val="0"/>
          <w:numId w:val="10"/>
        </w:numPr>
        <w:spacing w:after="60" w:afterAutospacing="0"/>
        <w:rPr>
          <w:rFonts w:asciiTheme="minorHAnsi" w:hAnsiTheme="minorHAnsi" w:cs="Arial"/>
          <w:color w:val="1F497D" w:themeColor="text2"/>
          <w:sz w:val="22"/>
          <w:szCs w:val="22"/>
        </w:rPr>
      </w:pPr>
      <w:r w:rsidRPr="00257773">
        <w:rPr>
          <w:rFonts w:asciiTheme="minorHAnsi" w:hAnsiTheme="minorHAnsi" w:cs="Arial"/>
          <w:color w:val="1F497D" w:themeColor="text2"/>
          <w:sz w:val="22"/>
          <w:szCs w:val="22"/>
        </w:rPr>
        <w:t>Has the market been explored for alternative suppliers?</w:t>
      </w:r>
    </w:p>
    <w:p w14:paraId="342F9A44" w14:textId="77777777" w:rsidR="00DE6626" w:rsidRPr="00257773" w:rsidRDefault="00DE6626" w:rsidP="00EF7FD9">
      <w:pPr>
        <w:pStyle w:val="NormalWeb"/>
        <w:numPr>
          <w:ilvl w:val="1"/>
          <w:numId w:val="10"/>
        </w:numPr>
        <w:spacing w:after="60" w:afterAutospacing="0"/>
        <w:ind w:left="1134"/>
        <w:rPr>
          <w:rFonts w:asciiTheme="minorHAnsi" w:hAnsiTheme="minorHAnsi" w:cs="Arial"/>
          <w:color w:val="1F497D" w:themeColor="text2"/>
          <w:sz w:val="22"/>
          <w:szCs w:val="22"/>
        </w:rPr>
      </w:pPr>
      <w:r w:rsidRPr="00257773">
        <w:rPr>
          <w:rFonts w:asciiTheme="minorHAnsi" w:hAnsiTheme="minorHAnsi" w:cs="Arial"/>
          <w:color w:val="1F497D" w:themeColor="text2"/>
          <w:sz w:val="22"/>
          <w:szCs w:val="22"/>
        </w:rPr>
        <w:t>Are there suitable competitors to the prospective supplier?</w:t>
      </w:r>
      <w:r w:rsidR="00A94D7D" w:rsidRPr="00257773">
        <w:rPr>
          <w:rFonts w:asciiTheme="minorHAnsi" w:hAnsiTheme="minorHAnsi" w:cs="Arial"/>
          <w:color w:val="1F497D" w:themeColor="text2"/>
          <w:sz w:val="22"/>
          <w:szCs w:val="22"/>
        </w:rPr>
        <w:t xml:space="preserve"> If yes, why can they not be invited to tender?</w:t>
      </w:r>
    </w:p>
    <w:p w14:paraId="342F9A45" w14:textId="77777777" w:rsidR="00DE6626" w:rsidRPr="00257773" w:rsidRDefault="000A2E33" w:rsidP="00EF7FD9">
      <w:pPr>
        <w:pStyle w:val="NormalWeb"/>
        <w:numPr>
          <w:ilvl w:val="1"/>
          <w:numId w:val="10"/>
        </w:numPr>
        <w:spacing w:after="60" w:afterAutospacing="0"/>
        <w:ind w:left="1134"/>
        <w:rPr>
          <w:rFonts w:asciiTheme="minorHAnsi" w:hAnsiTheme="minorHAnsi" w:cs="Arial"/>
          <w:color w:val="1F497D" w:themeColor="text2"/>
          <w:sz w:val="22"/>
          <w:szCs w:val="22"/>
        </w:rPr>
      </w:pPr>
      <w:r w:rsidRPr="00257773">
        <w:rPr>
          <w:rFonts w:asciiTheme="minorHAnsi" w:hAnsiTheme="minorHAnsi" w:cs="Arial"/>
          <w:color w:val="1F497D" w:themeColor="text2"/>
          <w:sz w:val="22"/>
          <w:szCs w:val="22"/>
        </w:rPr>
        <w:t>Is</w:t>
      </w:r>
      <w:r w:rsidR="00DE6626" w:rsidRPr="00257773">
        <w:rPr>
          <w:rFonts w:asciiTheme="minorHAnsi" w:hAnsiTheme="minorHAnsi" w:cs="Arial"/>
          <w:color w:val="1F497D" w:themeColor="text2"/>
          <w:sz w:val="22"/>
          <w:szCs w:val="22"/>
        </w:rPr>
        <w:t xml:space="preserve"> there </w:t>
      </w:r>
      <w:r w:rsidRPr="00257773">
        <w:rPr>
          <w:rFonts w:asciiTheme="minorHAnsi" w:hAnsiTheme="minorHAnsi" w:cs="Arial"/>
          <w:color w:val="1F497D" w:themeColor="text2"/>
          <w:sz w:val="22"/>
          <w:szCs w:val="22"/>
        </w:rPr>
        <w:t>a</w:t>
      </w:r>
      <w:r w:rsidR="00DE6626" w:rsidRPr="00257773">
        <w:rPr>
          <w:rFonts w:asciiTheme="minorHAnsi" w:hAnsiTheme="minorHAnsi" w:cs="Arial"/>
          <w:color w:val="1F497D" w:themeColor="text2"/>
          <w:sz w:val="22"/>
          <w:szCs w:val="22"/>
        </w:rPr>
        <w:t xml:space="preserve"> possibility of a complaint from another supplier?</w:t>
      </w:r>
    </w:p>
    <w:p w14:paraId="342F9A46" w14:textId="77777777" w:rsidR="00EC3121" w:rsidRPr="00257773" w:rsidRDefault="00D07485" w:rsidP="00EF7FD9">
      <w:pPr>
        <w:pStyle w:val="NormalWeb"/>
        <w:numPr>
          <w:ilvl w:val="0"/>
          <w:numId w:val="10"/>
        </w:numPr>
        <w:spacing w:after="60" w:afterAutospacing="0"/>
        <w:rPr>
          <w:rFonts w:asciiTheme="minorHAnsi" w:hAnsiTheme="minorHAnsi" w:cs="Arial"/>
          <w:color w:val="1F497D" w:themeColor="text2"/>
          <w:sz w:val="22"/>
          <w:szCs w:val="22"/>
        </w:rPr>
      </w:pPr>
      <w:r w:rsidRPr="00257773">
        <w:rPr>
          <w:rFonts w:asciiTheme="minorHAnsi" w:hAnsiTheme="minorHAnsi" w:cs="Arial"/>
          <w:color w:val="1F497D" w:themeColor="text2"/>
          <w:sz w:val="22"/>
          <w:szCs w:val="22"/>
        </w:rPr>
        <w:t>How c</w:t>
      </w:r>
      <w:r w:rsidR="00EC3121" w:rsidRPr="00257773">
        <w:rPr>
          <w:rFonts w:asciiTheme="minorHAnsi" w:hAnsiTheme="minorHAnsi" w:cs="Arial"/>
          <w:color w:val="1F497D" w:themeColor="text2"/>
          <w:sz w:val="22"/>
          <w:szCs w:val="22"/>
        </w:rPr>
        <w:t>an you demonstrate that the prospective offer provides the University with value for money?</w:t>
      </w:r>
    </w:p>
    <w:p w14:paraId="342F9A47" w14:textId="77777777" w:rsidR="009F0AAF" w:rsidRPr="00257773" w:rsidRDefault="009F0AAF" w:rsidP="00EF7FD9">
      <w:pPr>
        <w:pStyle w:val="NormalWeb"/>
        <w:numPr>
          <w:ilvl w:val="1"/>
          <w:numId w:val="10"/>
        </w:numPr>
        <w:spacing w:after="60" w:afterAutospacing="0"/>
        <w:ind w:left="1134"/>
        <w:rPr>
          <w:rFonts w:asciiTheme="minorHAnsi" w:hAnsiTheme="minorHAnsi" w:cs="Arial"/>
          <w:color w:val="1F497D" w:themeColor="text2"/>
          <w:sz w:val="22"/>
          <w:szCs w:val="22"/>
        </w:rPr>
      </w:pPr>
      <w:r w:rsidRPr="00257773">
        <w:rPr>
          <w:rFonts w:asciiTheme="minorHAnsi" w:hAnsiTheme="minorHAnsi" w:cs="Arial"/>
          <w:color w:val="1F497D" w:themeColor="text2"/>
          <w:sz w:val="22"/>
          <w:szCs w:val="22"/>
        </w:rPr>
        <w:t>How does</w:t>
      </w:r>
      <w:r w:rsidR="00431A9D" w:rsidRPr="00257773">
        <w:rPr>
          <w:rFonts w:asciiTheme="minorHAnsi" w:hAnsiTheme="minorHAnsi" w:cs="Arial"/>
          <w:color w:val="1F497D" w:themeColor="text2"/>
          <w:sz w:val="22"/>
          <w:szCs w:val="22"/>
        </w:rPr>
        <w:t xml:space="preserve"> it</w:t>
      </w:r>
      <w:r w:rsidR="00433C39" w:rsidRPr="00257773">
        <w:rPr>
          <w:rFonts w:asciiTheme="minorHAnsi" w:hAnsiTheme="minorHAnsi" w:cs="Arial"/>
          <w:color w:val="1F497D" w:themeColor="text2"/>
          <w:sz w:val="22"/>
          <w:szCs w:val="22"/>
        </w:rPr>
        <w:t xml:space="preserve"> compare</w:t>
      </w:r>
      <w:r w:rsidRPr="00257773">
        <w:rPr>
          <w:rFonts w:asciiTheme="minorHAnsi" w:hAnsiTheme="minorHAnsi" w:cs="Arial"/>
          <w:color w:val="1F497D" w:themeColor="text2"/>
          <w:sz w:val="22"/>
          <w:szCs w:val="22"/>
        </w:rPr>
        <w:t xml:space="preserve"> with previous purchases of the goods and/or services</w:t>
      </w:r>
      <w:r w:rsidR="00DC39F1" w:rsidRPr="00257773">
        <w:rPr>
          <w:rFonts w:asciiTheme="minorHAnsi" w:hAnsiTheme="minorHAnsi" w:cs="Arial"/>
          <w:color w:val="1F497D" w:themeColor="text2"/>
          <w:sz w:val="22"/>
          <w:szCs w:val="22"/>
        </w:rPr>
        <w:t xml:space="preserve"> within the University</w:t>
      </w:r>
      <w:r w:rsidRPr="00257773">
        <w:rPr>
          <w:rFonts w:asciiTheme="minorHAnsi" w:hAnsiTheme="minorHAnsi" w:cs="Arial"/>
          <w:color w:val="1F497D" w:themeColor="text2"/>
          <w:sz w:val="22"/>
          <w:szCs w:val="22"/>
        </w:rPr>
        <w:t>?</w:t>
      </w:r>
    </w:p>
    <w:p w14:paraId="342F9A48" w14:textId="77777777" w:rsidR="00AA5856" w:rsidRPr="00257773" w:rsidRDefault="00431A9D" w:rsidP="00EF7FD9">
      <w:pPr>
        <w:pStyle w:val="NormalWeb"/>
        <w:numPr>
          <w:ilvl w:val="1"/>
          <w:numId w:val="10"/>
        </w:numPr>
        <w:spacing w:after="60" w:afterAutospacing="0"/>
        <w:ind w:left="1134"/>
        <w:rPr>
          <w:rFonts w:asciiTheme="minorHAnsi" w:hAnsiTheme="minorHAnsi" w:cs="Arial"/>
          <w:color w:val="1F497D" w:themeColor="text2"/>
          <w:sz w:val="22"/>
          <w:szCs w:val="22"/>
        </w:rPr>
      </w:pPr>
      <w:r w:rsidRPr="00257773">
        <w:rPr>
          <w:rFonts w:asciiTheme="minorHAnsi" w:hAnsiTheme="minorHAnsi" w:cs="Arial"/>
          <w:color w:val="1F497D" w:themeColor="text2"/>
          <w:sz w:val="22"/>
          <w:szCs w:val="22"/>
        </w:rPr>
        <w:t>How does it compare with previous purchases of the goods and/or services by other</w:t>
      </w:r>
      <w:r w:rsidR="00D07485" w:rsidRPr="00257773">
        <w:rPr>
          <w:rFonts w:asciiTheme="minorHAnsi" w:hAnsiTheme="minorHAnsi" w:cs="Arial"/>
          <w:color w:val="1F497D" w:themeColor="text2"/>
          <w:sz w:val="22"/>
          <w:szCs w:val="22"/>
        </w:rPr>
        <w:t xml:space="preserve"> organisations you know of</w:t>
      </w:r>
      <w:r w:rsidRPr="00257773">
        <w:rPr>
          <w:rFonts w:asciiTheme="minorHAnsi" w:hAnsiTheme="minorHAnsi" w:cs="Arial"/>
          <w:color w:val="1F497D" w:themeColor="text2"/>
          <w:sz w:val="22"/>
          <w:szCs w:val="22"/>
        </w:rPr>
        <w:t>?</w:t>
      </w:r>
    </w:p>
    <w:p w14:paraId="342F9A49" w14:textId="77777777" w:rsidR="00EC3121" w:rsidRPr="00257773" w:rsidRDefault="00816074" w:rsidP="00EF7FD9">
      <w:pPr>
        <w:pStyle w:val="NormalWeb"/>
        <w:numPr>
          <w:ilvl w:val="0"/>
          <w:numId w:val="10"/>
        </w:numPr>
        <w:spacing w:after="60" w:afterAutospacing="0"/>
        <w:rPr>
          <w:rFonts w:asciiTheme="minorHAnsi" w:hAnsiTheme="minorHAnsi" w:cs="Arial"/>
          <w:color w:val="1F497D" w:themeColor="text2"/>
          <w:sz w:val="22"/>
          <w:szCs w:val="22"/>
        </w:rPr>
      </w:pPr>
      <w:r w:rsidRPr="00257773">
        <w:rPr>
          <w:rFonts w:asciiTheme="minorHAnsi" w:hAnsiTheme="minorHAnsi" w:cs="Arial"/>
          <w:color w:val="1F497D" w:themeColor="text2"/>
          <w:sz w:val="22"/>
          <w:szCs w:val="22"/>
        </w:rPr>
        <w:t>Could the specification be altered in any way to allow other suppliers to compete, without impacting the desired outcome?</w:t>
      </w:r>
    </w:p>
    <w:p w14:paraId="342F9A4A" w14:textId="77777777" w:rsidR="00265D3E" w:rsidRPr="00257773" w:rsidRDefault="00EC3121" w:rsidP="00EF7FD9">
      <w:pPr>
        <w:pStyle w:val="NormalWeb"/>
        <w:numPr>
          <w:ilvl w:val="0"/>
          <w:numId w:val="10"/>
        </w:numPr>
        <w:spacing w:after="0" w:afterAutospacing="0"/>
        <w:rPr>
          <w:rFonts w:asciiTheme="minorHAnsi" w:hAnsiTheme="minorHAnsi" w:cs="Arial"/>
          <w:color w:val="1F497D" w:themeColor="text2"/>
          <w:sz w:val="22"/>
          <w:szCs w:val="22"/>
        </w:rPr>
      </w:pPr>
      <w:r w:rsidRPr="00257773">
        <w:rPr>
          <w:rFonts w:asciiTheme="minorHAnsi" w:hAnsiTheme="minorHAnsi" w:cs="Arial"/>
          <w:color w:val="1F497D" w:themeColor="text2"/>
          <w:sz w:val="22"/>
          <w:szCs w:val="22"/>
        </w:rPr>
        <w:t>Has the supplier agreed to the University’s terms and conditions</w:t>
      </w:r>
      <w:r w:rsidR="000435EB" w:rsidRPr="00257773">
        <w:rPr>
          <w:rFonts w:asciiTheme="minorHAnsi" w:hAnsiTheme="minorHAnsi" w:cs="Arial"/>
          <w:color w:val="1F497D" w:themeColor="text2"/>
          <w:sz w:val="22"/>
          <w:szCs w:val="22"/>
        </w:rPr>
        <w:t>, or are there other previously agreed terms</w:t>
      </w:r>
      <w:r w:rsidR="006400E4" w:rsidRPr="00257773">
        <w:rPr>
          <w:rFonts w:asciiTheme="minorHAnsi" w:hAnsiTheme="minorHAnsi" w:cs="Arial"/>
          <w:color w:val="1F497D" w:themeColor="text2"/>
          <w:sz w:val="22"/>
          <w:szCs w:val="22"/>
        </w:rPr>
        <w:t>?</w:t>
      </w:r>
    </w:p>
    <w:p w14:paraId="342F9A4B" w14:textId="77777777" w:rsidR="00086B02" w:rsidRPr="00FE7ADB" w:rsidRDefault="00086B02" w:rsidP="00086B02">
      <w:pPr>
        <w:pStyle w:val="NormalWeb"/>
        <w:spacing w:before="0" w:beforeAutospacing="0" w:after="0" w:afterAutospacing="0"/>
        <w:rPr>
          <w:rFonts w:asciiTheme="minorHAnsi" w:hAnsiTheme="minorHAnsi" w:cs="Arial"/>
          <w:color w:val="1F497D" w:themeColor="text2"/>
          <w:sz w:val="12"/>
          <w:szCs w:val="12"/>
        </w:rPr>
      </w:pPr>
    </w:p>
    <w:p w14:paraId="342F9A4C" w14:textId="77777777" w:rsidR="00431A9D" w:rsidRPr="00257773" w:rsidRDefault="00EC3121" w:rsidP="00086B02">
      <w:pPr>
        <w:pStyle w:val="NormalWeb"/>
        <w:spacing w:before="0" w:beforeAutospacing="0" w:after="0" w:afterAutospacing="0"/>
        <w:rPr>
          <w:rFonts w:asciiTheme="minorHAnsi" w:hAnsiTheme="minorHAnsi" w:cs="Arial"/>
          <w:color w:val="1F497D" w:themeColor="text2"/>
          <w:sz w:val="22"/>
          <w:szCs w:val="22"/>
        </w:rPr>
      </w:pPr>
      <w:r w:rsidRPr="00257773">
        <w:rPr>
          <w:rFonts w:asciiTheme="minorHAnsi" w:hAnsiTheme="minorHAnsi" w:cs="Arial"/>
          <w:color w:val="1F497D" w:themeColor="text2"/>
          <w:sz w:val="22"/>
          <w:szCs w:val="22"/>
        </w:rPr>
        <w:t>Th</w:t>
      </w:r>
      <w:r w:rsidR="000A2E33" w:rsidRPr="00257773">
        <w:rPr>
          <w:rFonts w:asciiTheme="minorHAnsi" w:hAnsiTheme="minorHAnsi" w:cs="Arial"/>
          <w:color w:val="1F497D" w:themeColor="text2"/>
          <w:sz w:val="22"/>
          <w:szCs w:val="22"/>
        </w:rPr>
        <w:t>ese factors are</w:t>
      </w:r>
      <w:r w:rsidRPr="00257773">
        <w:rPr>
          <w:rFonts w:asciiTheme="minorHAnsi" w:hAnsiTheme="minorHAnsi" w:cs="Arial"/>
          <w:color w:val="1F497D" w:themeColor="text2"/>
          <w:sz w:val="22"/>
          <w:szCs w:val="22"/>
        </w:rPr>
        <w:t xml:space="preserve"> a guide</w:t>
      </w:r>
      <w:r w:rsidR="000A2E33" w:rsidRPr="00257773">
        <w:rPr>
          <w:rFonts w:asciiTheme="minorHAnsi" w:hAnsiTheme="minorHAnsi" w:cs="Arial"/>
          <w:color w:val="1F497D" w:themeColor="text2"/>
          <w:sz w:val="22"/>
          <w:szCs w:val="22"/>
        </w:rPr>
        <w:t xml:space="preserve"> only</w:t>
      </w:r>
      <w:r w:rsidRPr="00257773">
        <w:rPr>
          <w:rFonts w:asciiTheme="minorHAnsi" w:hAnsiTheme="minorHAnsi" w:cs="Arial"/>
          <w:color w:val="1F497D" w:themeColor="text2"/>
          <w:sz w:val="22"/>
          <w:szCs w:val="22"/>
        </w:rPr>
        <w:t xml:space="preserve"> and may not apply to every request. Each request must</w:t>
      </w:r>
      <w:r w:rsidR="00A823A4" w:rsidRPr="00257773">
        <w:rPr>
          <w:rFonts w:asciiTheme="minorHAnsi" w:hAnsiTheme="minorHAnsi" w:cs="Arial"/>
          <w:color w:val="1F497D" w:themeColor="text2"/>
          <w:sz w:val="22"/>
          <w:szCs w:val="22"/>
        </w:rPr>
        <w:t xml:space="preserve"> be</w:t>
      </w:r>
      <w:r w:rsidRPr="00257773">
        <w:rPr>
          <w:rFonts w:asciiTheme="minorHAnsi" w:hAnsiTheme="minorHAnsi" w:cs="Arial"/>
          <w:color w:val="1F497D" w:themeColor="text2"/>
          <w:sz w:val="22"/>
          <w:szCs w:val="22"/>
        </w:rPr>
        <w:t xml:space="preserve"> considered on its own merit</w:t>
      </w:r>
      <w:r w:rsidR="00431A9D" w:rsidRPr="00257773">
        <w:rPr>
          <w:rFonts w:asciiTheme="minorHAnsi" w:hAnsiTheme="minorHAnsi" w:cs="Arial"/>
          <w:color w:val="1F497D" w:themeColor="text2"/>
          <w:sz w:val="22"/>
          <w:szCs w:val="22"/>
        </w:rPr>
        <w:t xml:space="preserve">. </w:t>
      </w:r>
    </w:p>
    <w:p w14:paraId="342F9A4D" w14:textId="77777777" w:rsidR="00086B02" w:rsidRPr="00EF7FD9" w:rsidRDefault="00086B02" w:rsidP="00086B02">
      <w:pPr>
        <w:pStyle w:val="NormalWeb"/>
        <w:spacing w:before="0" w:beforeAutospacing="0" w:after="0" w:afterAutospacing="0"/>
        <w:rPr>
          <w:rFonts w:asciiTheme="minorHAnsi" w:hAnsiTheme="minorHAnsi" w:cs="Arial"/>
          <w:color w:val="1F497D" w:themeColor="text2"/>
          <w:sz w:val="22"/>
          <w:szCs w:val="22"/>
        </w:rPr>
      </w:pPr>
    </w:p>
    <w:p w14:paraId="342F9A4E" w14:textId="77777777" w:rsidR="0040091E" w:rsidRPr="00257773" w:rsidRDefault="00CF5B99" w:rsidP="00CF5B99">
      <w:pPr>
        <w:pStyle w:val="NormalWeb"/>
        <w:spacing w:before="0" w:beforeAutospacing="0" w:after="120" w:afterAutospacing="0"/>
        <w:rPr>
          <w:rFonts w:asciiTheme="minorHAnsi" w:hAnsiTheme="minorHAnsi" w:cs="Arial"/>
          <w:b/>
          <w:color w:val="1F497D" w:themeColor="text2"/>
          <w:sz w:val="22"/>
          <w:szCs w:val="22"/>
        </w:rPr>
      </w:pPr>
      <w:r w:rsidRPr="00257773">
        <w:rPr>
          <w:rFonts w:asciiTheme="minorHAnsi" w:hAnsiTheme="minorHAnsi" w:cs="Arial"/>
          <w:b/>
          <w:color w:val="1F497D" w:themeColor="text2"/>
          <w:sz w:val="22"/>
          <w:szCs w:val="22"/>
        </w:rPr>
        <w:t>Department must keep a record of exemptions</w:t>
      </w:r>
    </w:p>
    <w:p w14:paraId="342F9A4F" w14:textId="77777777" w:rsidR="00590A29" w:rsidRPr="00257773" w:rsidRDefault="000A6D2A" w:rsidP="0040091E">
      <w:pPr>
        <w:pStyle w:val="NormalWeb"/>
        <w:spacing w:before="0" w:beforeAutospacing="0" w:after="0" w:afterAutospacing="0"/>
        <w:rPr>
          <w:rFonts w:asciiTheme="minorHAnsi" w:hAnsiTheme="minorHAnsi" w:cs="Arial"/>
          <w:color w:val="1F497D" w:themeColor="text2"/>
          <w:sz w:val="22"/>
          <w:szCs w:val="22"/>
        </w:rPr>
      </w:pPr>
      <w:r w:rsidRPr="00257773">
        <w:rPr>
          <w:rFonts w:asciiTheme="minorHAnsi" w:hAnsiTheme="minorHAnsi" w:cs="Arial"/>
          <w:color w:val="1F497D" w:themeColor="text2"/>
          <w:sz w:val="22"/>
          <w:szCs w:val="22"/>
        </w:rPr>
        <w:t>Departments must keep</w:t>
      </w:r>
      <w:r w:rsidR="00CF5B99" w:rsidRPr="00257773">
        <w:rPr>
          <w:rFonts w:asciiTheme="minorHAnsi" w:hAnsiTheme="minorHAnsi" w:cs="Arial"/>
          <w:color w:val="1F497D" w:themeColor="text2"/>
          <w:sz w:val="22"/>
          <w:szCs w:val="22"/>
        </w:rPr>
        <w:t xml:space="preserve"> records of</w:t>
      </w:r>
      <w:r w:rsidRPr="00257773">
        <w:rPr>
          <w:rFonts w:asciiTheme="minorHAnsi" w:hAnsiTheme="minorHAnsi" w:cs="Arial"/>
          <w:color w:val="1F497D" w:themeColor="text2"/>
          <w:sz w:val="22"/>
          <w:szCs w:val="22"/>
        </w:rPr>
        <w:t xml:space="preserve"> a</w:t>
      </w:r>
      <w:r w:rsidR="00D07485" w:rsidRPr="00257773">
        <w:rPr>
          <w:rFonts w:asciiTheme="minorHAnsi" w:hAnsiTheme="minorHAnsi" w:cs="Arial"/>
          <w:color w:val="1F497D" w:themeColor="text2"/>
          <w:sz w:val="22"/>
          <w:szCs w:val="22"/>
        </w:rPr>
        <w:t>ll</w:t>
      </w:r>
      <w:r w:rsidRPr="00257773">
        <w:rPr>
          <w:rFonts w:asciiTheme="minorHAnsi" w:hAnsiTheme="minorHAnsi" w:cs="Arial"/>
          <w:color w:val="1F497D" w:themeColor="text2"/>
          <w:sz w:val="22"/>
          <w:szCs w:val="22"/>
        </w:rPr>
        <w:t xml:space="preserve"> </w:t>
      </w:r>
      <w:r w:rsidR="008820E7" w:rsidRPr="00257773">
        <w:rPr>
          <w:rFonts w:asciiTheme="minorHAnsi" w:hAnsiTheme="minorHAnsi" w:cs="Arial"/>
          <w:color w:val="1F497D" w:themeColor="text2"/>
          <w:sz w:val="22"/>
          <w:szCs w:val="22"/>
        </w:rPr>
        <w:t>tender</w:t>
      </w:r>
      <w:r w:rsidR="006A1B28" w:rsidRPr="00257773">
        <w:rPr>
          <w:rFonts w:asciiTheme="minorHAnsi" w:hAnsiTheme="minorHAnsi" w:cs="Arial"/>
          <w:color w:val="1F497D" w:themeColor="text2"/>
          <w:sz w:val="22"/>
          <w:szCs w:val="22"/>
        </w:rPr>
        <w:t xml:space="preserve"> exemption</w:t>
      </w:r>
      <w:r w:rsidRPr="00257773">
        <w:rPr>
          <w:rFonts w:asciiTheme="minorHAnsi" w:hAnsiTheme="minorHAnsi" w:cs="Arial"/>
          <w:color w:val="1F497D" w:themeColor="text2"/>
          <w:sz w:val="22"/>
          <w:szCs w:val="22"/>
        </w:rPr>
        <w:t xml:space="preserve"> requests</w:t>
      </w:r>
      <w:r w:rsidR="00CF5B99" w:rsidRPr="00257773">
        <w:rPr>
          <w:rFonts w:asciiTheme="minorHAnsi" w:hAnsiTheme="minorHAnsi" w:cs="Arial"/>
          <w:color w:val="1F497D" w:themeColor="text2"/>
          <w:sz w:val="22"/>
          <w:szCs w:val="22"/>
        </w:rPr>
        <w:t xml:space="preserve"> to satisfy internal and external </w:t>
      </w:r>
      <w:r w:rsidR="006400E4" w:rsidRPr="00257773">
        <w:rPr>
          <w:rFonts w:asciiTheme="minorHAnsi" w:hAnsiTheme="minorHAnsi" w:cs="Arial"/>
          <w:color w:val="1F497D" w:themeColor="text2"/>
          <w:sz w:val="22"/>
          <w:szCs w:val="22"/>
        </w:rPr>
        <w:t>auditors and</w:t>
      </w:r>
      <w:r w:rsidR="00CF5B99" w:rsidRPr="00257773">
        <w:rPr>
          <w:rFonts w:asciiTheme="minorHAnsi" w:hAnsiTheme="minorHAnsi" w:cs="Arial"/>
          <w:color w:val="1F497D" w:themeColor="text2"/>
          <w:sz w:val="22"/>
          <w:szCs w:val="22"/>
        </w:rPr>
        <w:t xml:space="preserve"> to enable challenges from any other supplier to be addressed.</w:t>
      </w:r>
    </w:p>
    <w:p w14:paraId="342F9A50" w14:textId="77777777" w:rsidR="00086B02" w:rsidRPr="00FE7ADB" w:rsidRDefault="00086B02" w:rsidP="009E5A34">
      <w:pPr>
        <w:rPr>
          <w:rFonts w:asciiTheme="minorHAnsi" w:hAnsiTheme="minorHAnsi" w:cs="Arial"/>
          <w:color w:val="1F497D" w:themeColor="text2"/>
          <w:sz w:val="12"/>
          <w:szCs w:val="12"/>
          <w:lang w:eastAsia="en-GB"/>
        </w:rPr>
      </w:pPr>
    </w:p>
    <w:p w14:paraId="342F9A51" w14:textId="77777777" w:rsidR="009E5A34" w:rsidRPr="00257773" w:rsidRDefault="009E5A34" w:rsidP="009E5A34">
      <w:pPr>
        <w:rPr>
          <w:rFonts w:asciiTheme="minorHAnsi" w:hAnsiTheme="minorHAnsi" w:cs="Arial"/>
          <w:color w:val="1F497D" w:themeColor="text2"/>
          <w:sz w:val="22"/>
          <w:szCs w:val="22"/>
          <w:lang w:eastAsia="en-GB"/>
        </w:rPr>
      </w:pPr>
      <w:r w:rsidRPr="00257773">
        <w:rPr>
          <w:rFonts w:asciiTheme="minorHAnsi" w:hAnsiTheme="minorHAnsi" w:cs="Arial"/>
          <w:color w:val="1F497D" w:themeColor="text2"/>
          <w:sz w:val="22"/>
          <w:szCs w:val="22"/>
          <w:lang w:eastAsia="en-GB"/>
        </w:rPr>
        <w:t>Please note that all major research funders look for compliance with University procedures and policies where no specific guidance is prov</w:t>
      </w:r>
      <w:r w:rsidR="00422252" w:rsidRPr="00257773">
        <w:rPr>
          <w:rFonts w:asciiTheme="minorHAnsi" w:hAnsiTheme="minorHAnsi" w:cs="Arial"/>
          <w:color w:val="1F497D" w:themeColor="text2"/>
          <w:sz w:val="22"/>
          <w:szCs w:val="22"/>
          <w:lang w:eastAsia="en-GB"/>
        </w:rPr>
        <w:t>ided under their own terms. Non-</w:t>
      </w:r>
      <w:r w:rsidRPr="00257773">
        <w:rPr>
          <w:rFonts w:asciiTheme="minorHAnsi" w:hAnsiTheme="minorHAnsi" w:cs="Arial"/>
          <w:color w:val="1F497D" w:themeColor="text2"/>
          <w:sz w:val="22"/>
          <w:szCs w:val="22"/>
          <w:lang w:eastAsia="en-GB"/>
        </w:rPr>
        <w:t>compliance with University procedures and policies could</w:t>
      </w:r>
      <w:r w:rsidR="00CF5B99" w:rsidRPr="00257773">
        <w:rPr>
          <w:rFonts w:asciiTheme="minorHAnsi" w:hAnsiTheme="minorHAnsi" w:cs="Arial"/>
          <w:color w:val="1F497D" w:themeColor="text2"/>
          <w:sz w:val="22"/>
          <w:szCs w:val="22"/>
          <w:lang w:eastAsia="en-GB"/>
        </w:rPr>
        <w:t xml:space="preserve"> therefore</w:t>
      </w:r>
      <w:r w:rsidRPr="00257773">
        <w:rPr>
          <w:rFonts w:asciiTheme="minorHAnsi" w:hAnsiTheme="minorHAnsi" w:cs="Arial"/>
          <w:color w:val="1F497D" w:themeColor="text2"/>
          <w:sz w:val="22"/>
          <w:szCs w:val="22"/>
          <w:lang w:eastAsia="en-GB"/>
        </w:rPr>
        <w:t xml:space="preserve"> result in related costs being considered ineligible by the funder.</w:t>
      </w:r>
    </w:p>
    <w:p w14:paraId="342F9A52" w14:textId="77777777" w:rsidR="006A1B28" w:rsidRPr="00257773" w:rsidRDefault="006A1B28" w:rsidP="009E5A34">
      <w:pPr>
        <w:rPr>
          <w:rFonts w:asciiTheme="minorHAnsi" w:hAnsiTheme="minorHAnsi" w:cs="Arial"/>
          <w:color w:val="1F497D" w:themeColor="text2"/>
          <w:sz w:val="12"/>
          <w:szCs w:val="12"/>
          <w:lang w:eastAsia="en-GB"/>
        </w:rPr>
      </w:pPr>
    </w:p>
    <w:p w14:paraId="342F9A53" w14:textId="77777777" w:rsidR="006A1B28" w:rsidRPr="00257773" w:rsidRDefault="00CD63EB" w:rsidP="00D15A39">
      <w:pPr>
        <w:spacing w:after="120"/>
        <w:rPr>
          <w:rFonts w:asciiTheme="minorHAnsi" w:hAnsiTheme="minorHAnsi" w:cs="Arial"/>
          <w:b/>
          <w:bCs/>
          <w:color w:val="1F497D" w:themeColor="text2"/>
          <w:sz w:val="22"/>
          <w:szCs w:val="22"/>
        </w:rPr>
      </w:pPr>
      <w:r w:rsidRPr="00257773">
        <w:rPr>
          <w:rFonts w:asciiTheme="minorHAnsi" w:hAnsiTheme="minorHAnsi" w:cs="Arial"/>
          <w:b/>
          <w:bCs/>
          <w:color w:val="1F497D" w:themeColor="text2"/>
          <w:sz w:val="22"/>
          <w:szCs w:val="22"/>
        </w:rPr>
        <w:t xml:space="preserve">Tender Exemption </w:t>
      </w:r>
      <w:r w:rsidR="006A1B28" w:rsidRPr="00257773">
        <w:rPr>
          <w:rFonts w:asciiTheme="minorHAnsi" w:hAnsiTheme="minorHAnsi" w:cs="Arial"/>
          <w:b/>
          <w:bCs/>
          <w:color w:val="1F497D" w:themeColor="text2"/>
          <w:sz w:val="22"/>
          <w:szCs w:val="22"/>
        </w:rPr>
        <w:t>Approval Summary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267"/>
        <w:gridCol w:w="1700"/>
        <w:gridCol w:w="3118"/>
        <w:gridCol w:w="3117"/>
      </w:tblGrid>
      <w:tr w:rsidR="00771CC4" w:rsidRPr="00257773" w14:paraId="342F9A58" w14:textId="77777777" w:rsidTr="00CF5B99">
        <w:trPr>
          <w:trHeight w:val="489"/>
        </w:trPr>
        <w:tc>
          <w:tcPr>
            <w:tcW w:w="2268" w:type="dxa"/>
            <w:vAlign w:val="center"/>
          </w:tcPr>
          <w:p w14:paraId="342F9A54" w14:textId="77777777" w:rsidR="003271A9" w:rsidRPr="00EA5A2C" w:rsidRDefault="003271A9" w:rsidP="00CF5B99">
            <w:pPr>
              <w:rPr>
                <w:rFonts w:asciiTheme="minorHAnsi" w:hAnsiTheme="minorHAnsi" w:cs="Arial"/>
                <w:b/>
                <w:color w:val="1F497D" w:themeColor="text2"/>
                <w:sz w:val="22"/>
                <w:szCs w:val="22"/>
                <w:lang w:eastAsia="en-GB"/>
              </w:rPr>
            </w:pPr>
            <w:r w:rsidRPr="00EA5A2C">
              <w:rPr>
                <w:rFonts w:asciiTheme="minorHAnsi" w:hAnsiTheme="minorHAnsi" w:cs="Arial"/>
                <w:b/>
                <w:color w:val="1F497D" w:themeColor="text2"/>
                <w:sz w:val="22"/>
                <w:szCs w:val="22"/>
                <w:lang w:eastAsia="en-GB"/>
              </w:rPr>
              <w:t xml:space="preserve">Reason for </w:t>
            </w:r>
            <w:r w:rsidR="00CF5B99" w:rsidRPr="00EA5A2C">
              <w:rPr>
                <w:rFonts w:asciiTheme="minorHAnsi" w:hAnsiTheme="minorHAnsi" w:cs="Arial"/>
                <w:b/>
                <w:color w:val="1F497D" w:themeColor="text2"/>
                <w:sz w:val="22"/>
                <w:szCs w:val="22"/>
                <w:lang w:eastAsia="en-GB"/>
              </w:rPr>
              <w:t>Exemption</w:t>
            </w:r>
          </w:p>
        </w:tc>
        <w:tc>
          <w:tcPr>
            <w:tcW w:w="1701" w:type="dxa"/>
            <w:vAlign w:val="center"/>
          </w:tcPr>
          <w:p w14:paraId="342F9A55" w14:textId="77777777" w:rsidR="003271A9" w:rsidRPr="00EA5A2C" w:rsidRDefault="003271A9" w:rsidP="00CF5B99">
            <w:pPr>
              <w:rPr>
                <w:rFonts w:asciiTheme="minorHAnsi" w:hAnsiTheme="minorHAnsi" w:cs="Arial"/>
                <w:b/>
                <w:color w:val="1F497D" w:themeColor="text2"/>
                <w:sz w:val="22"/>
                <w:szCs w:val="22"/>
                <w:lang w:eastAsia="en-GB"/>
              </w:rPr>
            </w:pPr>
            <w:r w:rsidRPr="00EA5A2C">
              <w:rPr>
                <w:rFonts w:asciiTheme="minorHAnsi" w:hAnsiTheme="minorHAnsi" w:cs="Arial"/>
                <w:b/>
                <w:color w:val="1F497D" w:themeColor="text2"/>
                <w:sz w:val="22"/>
                <w:szCs w:val="22"/>
                <w:lang w:eastAsia="en-GB"/>
              </w:rPr>
              <w:t>Value (ex-VAT)</w:t>
            </w:r>
          </w:p>
        </w:tc>
        <w:tc>
          <w:tcPr>
            <w:tcW w:w="3119" w:type="dxa"/>
            <w:vAlign w:val="center"/>
          </w:tcPr>
          <w:p w14:paraId="342F9A56" w14:textId="77777777" w:rsidR="003271A9" w:rsidRPr="00EA5A2C" w:rsidRDefault="003271A9" w:rsidP="00CF5B99">
            <w:pPr>
              <w:rPr>
                <w:rFonts w:asciiTheme="minorHAnsi" w:hAnsiTheme="minorHAnsi" w:cs="Arial"/>
                <w:b/>
                <w:color w:val="1F497D" w:themeColor="text2"/>
                <w:sz w:val="22"/>
                <w:szCs w:val="22"/>
                <w:lang w:eastAsia="en-GB"/>
              </w:rPr>
            </w:pPr>
            <w:r w:rsidRPr="00EA5A2C">
              <w:rPr>
                <w:rFonts w:asciiTheme="minorHAnsi" w:hAnsiTheme="minorHAnsi" w:cs="Arial"/>
                <w:b/>
                <w:color w:val="1F497D" w:themeColor="text2"/>
                <w:sz w:val="22"/>
                <w:szCs w:val="22"/>
                <w:lang w:eastAsia="en-GB"/>
              </w:rPr>
              <w:t>Supplier / Terms</w:t>
            </w:r>
            <w:r w:rsidR="00F53B97" w:rsidRPr="00EA5A2C">
              <w:rPr>
                <w:rFonts w:asciiTheme="minorHAnsi" w:hAnsiTheme="minorHAnsi" w:cs="Arial"/>
                <w:b/>
                <w:color w:val="1F497D" w:themeColor="text2"/>
                <w:sz w:val="22"/>
                <w:szCs w:val="22"/>
                <w:lang w:eastAsia="en-GB"/>
              </w:rPr>
              <w:t xml:space="preserve"> &amp; Conditions</w:t>
            </w:r>
          </w:p>
        </w:tc>
        <w:tc>
          <w:tcPr>
            <w:tcW w:w="3118" w:type="dxa"/>
            <w:vAlign w:val="center"/>
          </w:tcPr>
          <w:p w14:paraId="342F9A57" w14:textId="77777777" w:rsidR="003271A9" w:rsidRPr="00EA5A2C" w:rsidRDefault="003271A9" w:rsidP="00CF5B99">
            <w:pPr>
              <w:rPr>
                <w:rFonts w:asciiTheme="minorHAnsi" w:hAnsiTheme="minorHAnsi" w:cs="Arial"/>
                <w:b/>
                <w:color w:val="1F497D" w:themeColor="text2"/>
                <w:sz w:val="22"/>
                <w:szCs w:val="22"/>
                <w:lang w:eastAsia="en-GB"/>
              </w:rPr>
            </w:pPr>
            <w:r w:rsidRPr="00EA5A2C">
              <w:rPr>
                <w:rFonts w:asciiTheme="minorHAnsi" w:hAnsiTheme="minorHAnsi" w:cs="Arial"/>
                <w:b/>
                <w:color w:val="1F497D" w:themeColor="text2"/>
                <w:sz w:val="22"/>
                <w:szCs w:val="22"/>
                <w:lang w:eastAsia="en-GB"/>
              </w:rPr>
              <w:t>Approval Required</w:t>
            </w:r>
          </w:p>
        </w:tc>
      </w:tr>
      <w:tr w:rsidR="00771CC4" w:rsidRPr="00257773" w14:paraId="342F9A5E" w14:textId="77777777" w:rsidTr="00CF5B99">
        <w:tc>
          <w:tcPr>
            <w:tcW w:w="2268" w:type="dxa"/>
            <w:vAlign w:val="center"/>
          </w:tcPr>
          <w:p w14:paraId="342F9A59" w14:textId="77777777" w:rsidR="003271A9" w:rsidRPr="0083274A" w:rsidRDefault="003271A9" w:rsidP="00B03934">
            <w:pPr>
              <w:spacing w:before="60" w:after="60"/>
              <w:rPr>
                <w:rFonts w:asciiTheme="minorHAnsi" w:hAnsiTheme="minorHAnsi" w:cs="Arial"/>
                <w:color w:val="1F497D" w:themeColor="text2"/>
                <w:sz w:val="21"/>
                <w:szCs w:val="21"/>
                <w:lang w:eastAsia="en-GB"/>
              </w:rPr>
            </w:pPr>
            <w:r w:rsidRPr="0083274A">
              <w:rPr>
                <w:rFonts w:asciiTheme="minorHAnsi" w:hAnsiTheme="minorHAnsi" w:cs="Arial"/>
                <w:color w:val="1F497D" w:themeColor="text2"/>
                <w:sz w:val="21"/>
                <w:szCs w:val="21"/>
                <w:lang w:eastAsia="en-GB"/>
              </w:rPr>
              <w:t>Any, except ‘overriding University interest’</w:t>
            </w:r>
          </w:p>
        </w:tc>
        <w:tc>
          <w:tcPr>
            <w:tcW w:w="1701" w:type="dxa"/>
            <w:vAlign w:val="center"/>
          </w:tcPr>
          <w:p w14:paraId="342F9A5A" w14:textId="77777777" w:rsidR="003271A9" w:rsidRPr="0083274A" w:rsidRDefault="003271A9" w:rsidP="00CF5B99">
            <w:pPr>
              <w:spacing w:before="60" w:after="60"/>
              <w:rPr>
                <w:rFonts w:asciiTheme="minorHAnsi" w:hAnsiTheme="minorHAnsi" w:cs="Arial"/>
                <w:color w:val="1F497D" w:themeColor="text2"/>
                <w:sz w:val="21"/>
                <w:szCs w:val="21"/>
                <w:lang w:eastAsia="en-GB"/>
              </w:rPr>
            </w:pPr>
            <w:r w:rsidRPr="0083274A">
              <w:rPr>
                <w:rFonts w:asciiTheme="minorHAnsi" w:hAnsiTheme="minorHAnsi" w:cs="Arial"/>
                <w:color w:val="1F497D" w:themeColor="text2"/>
                <w:sz w:val="21"/>
                <w:szCs w:val="21"/>
                <w:lang w:eastAsia="en-GB"/>
              </w:rPr>
              <w:t>£25</w:t>
            </w:r>
            <w:r w:rsidR="00CF5B99" w:rsidRPr="0083274A">
              <w:rPr>
                <w:rFonts w:asciiTheme="minorHAnsi" w:hAnsiTheme="minorHAnsi" w:cs="Arial"/>
                <w:color w:val="1F497D" w:themeColor="text2"/>
                <w:sz w:val="21"/>
                <w:szCs w:val="21"/>
                <w:lang w:eastAsia="en-GB"/>
              </w:rPr>
              <w:t>,000</w:t>
            </w:r>
            <w:r w:rsidRPr="0083274A">
              <w:rPr>
                <w:rFonts w:asciiTheme="minorHAnsi" w:hAnsiTheme="minorHAnsi" w:cs="Arial"/>
                <w:color w:val="1F497D" w:themeColor="text2"/>
                <w:sz w:val="21"/>
                <w:szCs w:val="21"/>
                <w:lang w:eastAsia="en-GB"/>
              </w:rPr>
              <w:t xml:space="preserve"> - £100</w:t>
            </w:r>
            <w:r w:rsidR="00CF5B99" w:rsidRPr="0083274A">
              <w:rPr>
                <w:rFonts w:asciiTheme="minorHAnsi" w:hAnsiTheme="minorHAnsi" w:cs="Arial"/>
                <w:color w:val="1F497D" w:themeColor="text2"/>
                <w:sz w:val="21"/>
                <w:szCs w:val="21"/>
                <w:lang w:eastAsia="en-GB"/>
              </w:rPr>
              <w:t>,000</w:t>
            </w:r>
          </w:p>
        </w:tc>
        <w:tc>
          <w:tcPr>
            <w:tcW w:w="3119" w:type="dxa"/>
            <w:vAlign w:val="center"/>
          </w:tcPr>
          <w:p w14:paraId="342F9A5B" w14:textId="77777777" w:rsidR="003271A9" w:rsidRPr="0083274A" w:rsidRDefault="003271A9" w:rsidP="00CF5B99">
            <w:pPr>
              <w:spacing w:before="60" w:after="60"/>
              <w:rPr>
                <w:rFonts w:asciiTheme="minorHAnsi" w:hAnsiTheme="minorHAnsi" w:cs="Arial"/>
                <w:color w:val="1F497D" w:themeColor="text2"/>
                <w:sz w:val="21"/>
                <w:szCs w:val="21"/>
                <w:lang w:eastAsia="en-GB"/>
              </w:rPr>
            </w:pPr>
            <w:r w:rsidRPr="0083274A">
              <w:rPr>
                <w:rFonts w:asciiTheme="minorHAnsi" w:hAnsiTheme="minorHAnsi" w:cs="Arial"/>
                <w:color w:val="1F497D" w:themeColor="text2"/>
                <w:sz w:val="21"/>
                <w:szCs w:val="21"/>
                <w:lang w:eastAsia="en-GB"/>
              </w:rPr>
              <w:t xml:space="preserve">University </w:t>
            </w:r>
            <w:r w:rsidR="00CF5B99" w:rsidRPr="0083274A">
              <w:rPr>
                <w:rFonts w:asciiTheme="minorHAnsi" w:hAnsiTheme="minorHAnsi" w:cs="Arial"/>
                <w:color w:val="1F497D" w:themeColor="text2"/>
                <w:sz w:val="21"/>
                <w:szCs w:val="21"/>
                <w:lang w:eastAsia="en-GB"/>
              </w:rPr>
              <w:t>p</w:t>
            </w:r>
            <w:r w:rsidRPr="0083274A">
              <w:rPr>
                <w:rFonts w:asciiTheme="minorHAnsi" w:hAnsiTheme="minorHAnsi" w:cs="Arial"/>
                <w:color w:val="1F497D" w:themeColor="text2"/>
                <w:sz w:val="21"/>
                <w:szCs w:val="21"/>
                <w:lang w:eastAsia="en-GB"/>
              </w:rPr>
              <w:t xml:space="preserve">referred </w:t>
            </w:r>
            <w:r w:rsidR="00CF5B99" w:rsidRPr="0083274A">
              <w:rPr>
                <w:rFonts w:asciiTheme="minorHAnsi" w:hAnsiTheme="minorHAnsi" w:cs="Arial"/>
                <w:color w:val="1F497D" w:themeColor="text2"/>
                <w:sz w:val="21"/>
                <w:szCs w:val="21"/>
                <w:lang w:eastAsia="en-GB"/>
              </w:rPr>
              <w:t>su</w:t>
            </w:r>
            <w:r w:rsidRPr="0083274A">
              <w:rPr>
                <w:rFonts w:asciiTheme="minorHAnsi" w:hAnsiTheme="minorHAnsi" w:cs="Arial"/>
                <w:color w:val="1F497D" w:themeColor="text2"/>
                <w:sz w:val="21"/>
                <w:szCs w:val="21"/>
                <w:lang w:eastAsia="en-GB"/>
              </w:rPr>
              <w:t>pplier OR supplier agrees to University</w:t>
            </w:r>
            <w:r w:rsidR="00F53B97" w:rsidRPr="0083274A">
              <w:rPr>
                <w:rFonts w:asciiTheme="minorHAnsi" w:hAnsiTheme="minorHAnsi" w:cs="Arial"/>
                <w:color w:val="1F497D" w:themeColor="text2"/>
                <w:sz w:val="21"/>
                <w:szCs w:val="21"/>
                <w:lang w:eastAsia="en-GB"/>
              </w:rPr>
              <w:t>’s</w:t>
            </w:r>
            <w:r w:rsidRPr="0083274A">
              <w:rPr>
                <w:rFonts w:asciiTheme="minorHAnsi" w:hAnsiTheme="minorHAnsi" w:cs="Arial"/>
                <w:color w:val="1F497D" w:themeColor="text2"/>
                <w:sz w:val="21"/>
                <w:szCs w:val="21"/>
                <w:lang w:eastAsia="en-GB"/>
              </w:rPr>
              <w:t xml:space="preserve"> terms and conditions</w:t>
            </w:r>
          </w:p>
        </w:tc>
        <w:tc>
          <w:tcPr>
            <w:tcW w:w="3118" w:type="dxa"/>
            <w:vAlign w:val="center"/>
          </w:tcPr>
          <w:p w14:paraId="342F9A5C" w14:textId="77777777" w:rsidR="003271A9" w:rsidRPr="0083274A" w:rsidRDefault="003271A9" w:rsidP="00B03934">
            <w:pPr>
              <w:spacing w:before="60" w:after="60"/>
              <w:rPr>
                <w:rFonts w:asciiTheme="minorHAnsi" w:hAnsiTheme="minorHAnsi" w:cs="Arial"/>
                <w:color w:val="1F497D" w:themeColor="text2"/>
                <w:sz w:val="21"/>
                <w:szCs w:val="21"/>
                <w:lang w:eastAsia="en-GB"/>
              </w:rPr>
            </w:pPr>
            <w:r w:rsidRPr="0083274A">
              <w:rPr>
                <w:rFonts w:asciiTheme="minorHAnsi" w:hAnsiTheme="minorHAnsi" w:cs="Arial"/>
                <w:color w:val="1F497D" w:themeColor="text2"/>
                <w:sz w:val="21"/>
                <w:szCs w:val="21"/>
                <w:lang w:eastAsia="en-GB"/>
              </w:rPr>
              <w:t>Head of Department or Administrator</w:t>
            </w:r>
          </w:p>
          <w:p w14:paraId="342F9A5D" w14:textId="77777777" w:rsidR="00A2496D" w:rsidRPr="0083274A" w:rsidRDefault="00A2496D" w:rsidP="00A2496D">
            <w:pPr>
              <w:spacing w:before="60" w:after="60"/>
              <w:rPr>
                <w:rFonts w:asciiTheme="minorHAnsi" w:hAnsiTheme="minorHAnsi" w:cs="Arial"/>
                <w:color w:val="1F497D" w:themeColor="text2"/>
                <w:sz w:val="21"/>
                <w:szCs w:val="21"/>
                <w:lang w:eastAsia="en-GB"/>
              </w:rPr>
            </w:pPr>
            <w:r w:rsidRPr="0083274A">
              <w:rPr>
                <w:rFonts w:asciiTheme="minorHAnsi" w:hAnsiTheme="minorHAnsi" w:cs="Arial"/>
                <w:color w:val="1F497D" w:themeColor="text2"/>
                <w:sz w:val="21"/>
                <w:szCs w:val="21"/>
                <w:lang w:eastAsia="en-GB"/>
              </w:rPr>
              <w:t>(</w:t>
            </w:r>
            <w:r w:rsidRPr="0083274A">
              <w:rPr>
                <w:rFonts w:asciiTheme="minorHAnsi" w:hAnsiTheme="minorHAnsi" w:cs="Arial"/>
                <w:i/>
                <w:color w:val="1F497D" w:themeColor="text2"/>
                <w:sz w:val="21"/>
                <w:szCs w:val="21"/>
                <w:lang w:eastAsia="en-GB"/>
              </w:rPr>
              <w:t>Estates Services only</w:t>
            </w:r>
            <w:r w:rsidRPr="0083274A">
              <w:rPr>
                <w:rFonts w:asciiTheme="minorHAnsi" w:hAnsiTheme="minorHAnsi" w:cs="Arial"/>
                <w:color w:val="1F497D" w:themeColor="text2"/>
                <w:sz w:val="21"/>
                <w:szCs w:val="21"/>
                <w:lang w:eastAsia="en-GB"/>
              </w:rPr>
              <w:t>: AND University Purchasing Department)</w:t>
            </w:r>
          </w:p>
        </w:tc>
      </w:tr>
      <w:tr w:rsidR="00771CC4" w:rsidRPr="00257773" w14:paraId="342F9A64" w14:textId="77777777" w:rsidTr="00CF5B99">
        <w:tc>
          <w:tcPr>
            <w:tcW w:w="2268" w:type="dxa"/>
            <w:vAlign w:val="center"/>
          </w:tcPr>
          <w:p w14:paraId="342F9A5F" w14:textId="77777777" w:rsidR="00771CC4" w:rsidRPr="0083274A" w:rsidRDefault="00771CC4" w:rsidP="00B03934">
            <w:pPr>
              <w:spacing w:before="60" w:after="60"/>
              <w:rPr>
                <w:rFonts w:asciiTheme="minorHAnsi" w:hAnsiTheme="minorHAnsi" w:cs="Arial"/>
                <w:color w:val="1F497D" w:themeColor="text2"/>
                <w:sz w:val="21"/>
                <w:szCs w:val="21"/>
                <w:lang w:eastAsia="en-GB"/>
              </w:rPr>
            </w:pPr>
            <w:r w:rsidRPr="0083274A">
              <w:rPr>
                <w:rFonts w:asciiTheme="minorHAnsi" w:hAnsiTheme="minorHAnsi" w:cs="Arial"/>
                <w:color w:val="1F497D" w:themeColor="text2"/>
                <w:sz w:val="21"/>
                <w:szCs w:val="21"/>
                <w:lang w:eastAsia="en-GB"/>
              </w:rPr>
              <w:t>Any, except ‘overriding University interest’</w:t>
            </w:r>
          </w:p>
        </w:tc>
        <w:tc>
          <w:tcPr>
            <w:tcW w:w="1701" w:type="dxa"/>
            <w:vAlign w:val="center"/>
          </w:tcPr>
          <w:p w14:paraId="342F9A60" w14:textId="77777777" w:rsidR="00771CC4" w:rsidRPr="0083274A" w:rsidRDefault="00771CC4" w:rsidP="00CF5B99">
            <w:pPr>
              <w:spacing w:before="60" w:after="60"/>
              <w:rPr>
                <w:rFonts w:asciiTheme="minorHAnsi" w:hAnsiTheme="minorHAnsi" w:cs="Arial"/>
                <w:color w:val="1F497D" w:themeColor="text2"/>
                <w:sz w:val="21"/>
                <w:szCs w:val="21"/>
                <w:lang w:eastAsia="en-GB"/>
              </w:rPr>
            </w:pPr>
            <w:r w:rsidRPr="0083274A">
              <w:rPr>
                <w:rFonts w:asciiTheme="minorHAnsi" w:hAnsiTheme="minorHAnsi" w:cs="Arial"/>
                <w:color w:val="1F497D" w:themeColor="text2"/>
                <w:sz w:val="21"/>
                <w:szCs w:val="21"/>
                <w:lang w:eastAsia="en-GB"/>
              </w:rPr>
              <w:t>£25</w:t>
            </w:r>
            <w:r w:rsidR="00CF5B99" w:rsidRPr="0083274A">
              <w:rPr>
                <w:rFonts w:asciiTheme="minorHAnsi" w:hAnsiTheme="minorHAnsi" w:cs="Arial"/>
                <w:color w:val="1F497D" w:themeColor="text2"/>
                <w:sz w:val="21"/>
                <w:szCs w:val="21"/>
                <w:lang w:eastAsia="en-GB"/>
              </w:rPr>
              <w:t>,000</w:t>
            </w:r>
            <w:r w:rsidRPr="0083274A">
              <w:rPr>
                <w:rFonts w:asciiTheme="minorHAnsi" w:hAnsiTheme="minorHAnsi" w:cs="Arial"/>
                <w:color w:val="1F497D" w:themeColor="text2"/>
                <w:sz w:val="21"/>
                <w:szCs w:val="21"/>
                <w:lang w:eastAsia="en-GB"/>
              </w:rPr>
              <w:t xml:space="preserve"> - £100</w:t>
            </w:r>
            <w:r w:rsidR="00CF5B99" w:rsidRPr="0083274A">
              <w:rPr>
                <w:rFonts w:asciiTheme="minorHAnsi" w:hAnsiTheme="minorHAnsi" w:cs="Arial"/>
                <w:color w:val="1F497D" w:themeColor="text2"/>
                <w:sz w:val="21"/>
                <w:szCs w:val="21"/>
                <w:lang w:eastAsia="en-GB"/>
              </w:rPr>
              <w:t>,000</w:t>
            </w:r>
          </w:p>
        </w:tc>
        <w:tc>
          <w:tcPr>
            <w:tcW w:w="3119" w:type="dxa"/>
            <w:vAlign w:val="center"/>
          </w:tcPr>
          <w:p w14:paraId="342F9A61" w14:textId="77777777" w:rsidR="00771CC4" w:rsidRPr="0083274A" w:rsidRDefault="00771CC4" w:rsidP="00B03934">
            <w:pPr>
              <w:spacing w:before="60" w:after="60"/>
              <w:rPr>
                <w:rFonts w:asciiTheme="minorHAnsi" w:hAnsiTheme="minorHAnsi" w:cs="Arial"/>
                <w:color w:val="1F497D" w:themeColor="text2"/>
                <w:sz w:val="21"/>
                <w:szCs w:val="21"/>
                <w:lang w:eastAsia="en-GB"/>
              </w:rPr>
            </w:pPr>
            <w:r w:rsidRPr="0083274A">
              <w:rPr>
                <w:rFonts w:asciiTheme="minorHAnsi" w:hAnsiTheme="minorHAnsi" w:cs="Arial"/>
                <w:color w:val="1F497D" w:themeColor="text2"/>
                <w:sz w:val="21"/>
                <w:szCs w:val="21"/>
                <w:lang w:eastAsia="en-GB"/>
              </w:rPr>
              <w:t>Supplier who will not sign University</w:t>
            </w:r>
            <w:r w:rsidR="00F53B97" w:rsidRPr="0083274A">
              <w:rPr>
                <w:rFonts w:asciiTheme="minorHAnsi" w:hAnsiTheme="minorHAnsi" w:cs="Arial"/>
                <w:color w:val="1F497D" w:themeColor="text2"/>
                <w:sz w:val="21"/>
                <w:szCs w:val="21"/>
                <w:lang w:eastAsia="en-GB"/>
              </w:rPr>
              <w:t>’s</w:t>
            </w:r>
            <w:r w:rsidRPr="0083274A">
              <w:rPr>
                <w:rFonts w:asciiTheme="minorHAnsi" w:hAnsiTheme="minorHAnsi" w:cs="Arial"/>
                <w:color w:val="1F497D" w:themeColor="text2"/>
                <w:sz w:val="21"/>
                <w:szCs w:val="21"/>
                <w:lang w:eastAsia="en-GB"/>
              </w:rPr>
              <w:t xml:space="preserve"> terms and conditions</w:t>
            </w:r>
          </w:p>
        </w:tc>
        <w:tc>
          <w:tcPr>
            <w:tcW w:w="3118" w:type="dxa"/>
            <w:vAlign w:val="center"/>
          </w:tcPr>
          <w:p w14:paraId="342F9A62" w14:textId="77777777" w:rsidR="00F53B97" w:rsidRPr="0083274A" w:rsidRDefault="00F53B97" w:rsidP="00B03934">
            <w:pPr>
              <w:spacing w:before="60" w:after="60"/>
              <w:rPr>
                <w:rFonts w:asciiTheme="minorHAnsi" w:hAnsiTheme="minorHAnsi" w:cs="Arial"/>
                <w:color w:val="1F497D" w:themeColor="text2"/>
                <w:sz w:val="21"/>
                <w:szCs w:val="21"/>
                <w:lang w:eastAsia="en-GB"/>
              </w:rPr>
            </w:pPr>
            <w:r w:rsidRPr="0083274A">
              <w:rPr>
                <w:rFonts w:asciiTheme="minorHAnsi" w:hAnsiTheme="minorHAnsi" w:cs="Arial"/>
                <w:color w:val="1F497D" w:themeColor="text2"/>
                <w:sz w:val="21"/>
                <w:szCs w:val="21"/>
                <w:lang w:eastAsia="en-GB"/>
              </w:rPr>
              <w:t>Head of Department or Administrator AND</w:t>
            </w:r>
          </w:p>
          <w:p w14:paraId="342F9A63" w14:textId="77777777" w:rsidR="00771CC4" w:rsidRPr="0083274A" w:rsidRDefault="00F53B97" w:rsidP="00B03934">
            <w:pPr>
              <w:spacing w:before="60" w:after="60"/>
              <w:rPr>
                <w:rFonts w:asciiTheme="minorHAnsi" w:hAnsiTheme="minorHAnsi" w:cs="Arial"/>
                <w:color w:val="1F497D" w:themeColor="text2"/>
                <w:sz w:val="21"/>
                <w:szCs w:val="21"/>
                <w:lang w:eastAsia="en-GB"/>
              </w:rPr>
            </w:pPr>
            <w:r w:rsidRPr="0083274A">
              <w:rPr>
                <w:rFonts w:asciiTheme="minorHAnsi" w:hAnsiTheme="minorHAnsi" w:cs="Arial"/>
                <w:color w:val="1F497D" w:themeColor="text2"/>
                <w:sz w:val="21"/>
                <w:szCs w:val="21"/>
                <w:lang w:eastAsia="en-GB"/>
              </w:rPr>
              <w:t>University Purchasing Department</w:t>
            </w:r>
          </w:p>
        </w:tc>
      </w:tr>
      <w:tr w:rsidR="00771CC4" w:rsidRPr="00257773" w14:paraId="342F9A6B" w14:textId="77777777" w:rsidTr="00CF5B99">
        <w:tc>
          <w:tcPr>
            <w:tcW w:w="2268" w:type="dxa"/>
            <w:vAlign w:val="center"/>
          </w:tcPr>
          <w:p w14:paraId="342F9A65" w14:textId="77777777" w:rsidR="003271A9" w:rsidRPr="0083274A" w:rsidRDefault="003271A9" w:rsidP="00B03934">
            <w:pPr>
              <w:spacing w:before="60" w:after="60"/>
              <w:rPr>
                <w:rFonts w:asciiTheme="minorHAnsi" w:hAnsiTheme="minorHAnsi" w:cs="Arial"/>
                <w:color w:val="1F497D" w:themeColor="text2"/>
                <w:sz w:val="21"/>
                <w:szCs w:val="21"/>
                <w:lang w:eastAsia="en-GB"/>
              </w:rPr>
            </w:pPr>
            <w:r w:rsidRPr="0083274A">
              <w:rPr>
                <w:rFonts w:asciiTheme="minorHAnsi" w:hAnsiTheme="minorHAnsi" w:cs="Arial"/>
                <w:color w:val="1F497D" w:themeColor="text2"/>
                <w:sz w:val="21"/>
                <w:szCs w:val="21"/>
                <w:lang w:eastAsia="en-GB"/>
              </w:rPr>
              <w:t>Any, except ‘overriding University interest’</w:t>
            </w:r>
          </w:p>
        </w:tc>
        <w:tc>
          <w:tcPr>
            <w:tcW w:w="1701" w:type="dxa"/>
            <w:vAlign w:val="center"/>
          </w:tcPr>
          <w:p w14:paraId="342F9A66" w14:textId="77777777" w:rsidR="003271A9" w:rsidRPr="0083274A" w:rsidRDefault="003271A9" w:rsidP="00CF5B99">
            <w:pPr>
              <w:spacing w:before="60" w:after="60"/>
              <w:rPr>
                <w:rFonts w:asciiTheme="minorHAnsi" w:hAnsiTheme="minorHAnsi" w:cs="Arial"/>
                <w:color w:val="1F497D" w:themeColor="text2"/>
                <w:sz w:val="21"/>
                <w:szCs w:val="21"/>
                <w:lang w:eastAsia="en-GB"/>
              </w:rPr>
            </w:pPr>
            <w:r w:rsidRPr="0083274A">
              <w:rPr>
                <w:rFonts w:asciiTheme="minorHAnsi" w:hAnsiTheme="minorHAnsi" w:cs="Arial"/>
                <w:color w:val="1F497D" w:themeColor="text2"/>
                <w:sz w:val="21"/>
                <w:szCs w:val="21"/>
                <w:lang w:eastAsia="en-GB"/>
              </w:rPr>
              <w:t>Over £100</w:t>
            </w:r>
            <w:r w:rsidR="00CF5B99" w:rsidRPr="0083274A">
              <w:rPr>
                <w:rFonts w:asciiTheme="minorHAnsi" w:hAnsiTheme="minorHAnsi" w:cs="Arial"/>
                <w:color w:val="1F497D" w:themeColor="text2"/>
                <w:sz w:val="21"/>
                <w:szCs w:val="21"/>
                <w:lang w:eastAsia="en-GB"/>
              </w:rPr>
              <w:t>,000</w:t>
            </w:r>
          </w:p>
        </w:tc>
        <w:tc>
          <w:tcPr>
            <w:tcW w:w="3119" w:type="dxa"/>
            <w:vAlign w:val="center"/>
          </w:tcPr>
          <w:p w14:paraId="342F9A67" w14:textId="77777777" w:rsidR="003271A9" w:rsidRPr="0083274A" w:rsidRDefault="003271A9" w:rsidP="00B03934">
            <w:pPr>
              <w:spacing w:before="60" w:after="60"/>
              <w:rPr>
                <w:rFonts w:asciiTheme="minorHAnsi" w:hAnsiTheme="minorHAnsi" w:cs="Arial"/>
                <w:color w:val="1F497D" w:themeColor="text2"/>
                <w:sz w:val="21"/>
                <w:szCs w:val="21"/>
                <w:lang w:eastAsia="en-GB"/>
              </w:rPr>
            </w:pPr>
            <w:r w:rsidRPr="0083274A">
              <w:rPr>
                <w:rFonts w:asciiTheme="minorHAnsi" w:hAnsiTheme="minorHAnsi" w:cs="Arial"/>
                <w:color w:val="1F497D" w:themeColor="text2"/>
                <w:sz w:val="21"/>
                <w:szCs w:val="21"/>
                <w:lang w:eastAsia="en-GB"/>
              </w:rPr>
              <w:t>Any</w:t>
            </w:r>
          </w:p>
        </w:tc>
        <w:tc>
          <w:tcPr>
            <w:tcW w:w="3118" w:type="dxa"/>
            <w:vAlign w:val="center"/>
          </w:tcPr>
          <w:p w14:paraId="342F9A68" w14:textId="77777777" w:rsidR="00A2496D" w:rsidRPr="0083274A" w:rsidRDefault="003271A9" w:rsidP="00B03934">
            <w:pPr>
              <w:spacing w:before="60" w:after="60"/>
              <w:rPr>
                <w:rFonts w:asciiTheme="minorHAnsi" w:hAnsiTheme="minorHAnsi" w:cs="Arial"/>
                <w:i/>
                <w:color w:val="1F497D" w:themeColor="text2"/>
                <w:sz w:val="21"/>
                <w:szCs w:val="21"/>
                <w:lang w:eastAsia="en-GB"/>
              </w:rPr>
            </w:pPr>
            <w:r w:rsidRPr="0083274A">
              <w:rPr>
                <w:rFonts w:asciiTheme="minorHAnsi" w:hAnsiTheme="minorHAnsi" w:cs="Arial"/>
                <w:color w:val="1F497D" w:themeColor="text2"/>
                <w:sz w:val="21"/>
                <w:szCs w:val="21"/>
                <w:lang w:eastAsia="en-GB"/>
              </w:rPr>
              <w:t>Head of Department or Administrator AND</w:t>
            </w:r>
            <w:r w:rsidR="00A2496D" w:rsidRPr="0083274A">
              <w:rPr>
                <w:rFonts w:asciiTheme="minorHAnsi" w:hAnsiTheme="minorHAnsi" w:cs="Arial"/>
                <w:i/>
                <w:color w:val="1F497D" w:themeColor="text2"/>
                <w:sz w:val="21"/>
                <w:szCs w:val="21"/>
                <w:lang w:eastAsia="en-GB"/>
              </w:rPr>
              <w:t xml:space="preserve"> </w:t>
            </w:r>
          </w:p>
          <w:p w14:paraId="342F9A69" w14:textId="77777777" w:rsidR="003271A9" w:rsidRPr="0083274A" w:rsidRDefault="00A2496D" w:rsidP="00B03934">
            <w:pPr>
              <w:spacing w:before="60" w:after="60"/>
              <w:rPr>
                <w:rFonts w:asciiTheme="minorHAnsi" w:hAnsiTheme="minorHAnsi" w:cs="Arial"/>
                <w:color w:val="1F497D" w:themeColor="text2"/>
                <w:sz w:val="21"/>
                <w:szCs w:val="21"/>
                <w:lang w:eastAsia="en-GB"/>
              </w:rPr>
            </w:pPr>
            <w:r w:rsidRPr="0083274A">
              <w:rPr>
                <w:rFonts w:asciiTheme="minorHAnsi" w:hAnsiTheme="minorHAnsi" w:cs="Arial"/>
                <w:color w:val="1F497D" w:themeColor="text2"/>
                <w:sz w:val="21"/>
                <w:szCs w:val="21"/>
                <w:lang w:eastAsia="en-GB"/>
              </w:rPr>
              <w:t>(</w:t>
            </w:r>
            <w:r w:rsidRPr="0083274A">
              <w:rPr>
                <w:rFonts w:asciiTheme="minorHAnsi" w:hAnsiTheme="minorHAnsi" w:cs="Arial"/>
                <w:i/>
                <w:color w:val="1F497D" w:themeColor="text2"/>
                <w:sz w:val="21"/>
                <w:szCs w:val="21"/>
                <w:lang w:eastAsia="en-GB"/>
              </w:rPr>
              <w:t>Estates Services only</w:t>
            </w:r>
            <w:r w:rsidRPr="0083274A">
              <w:rPr>
                <w:rFonts w:asciiTheme="minorHAnsi" w:hAnsiTheme="minorHAnsi" w:cs="Arial"/>
                <w:color w:val="1F497D" w:themeColor="text2"/>
                <w:sz w:val="21"/>
                <w:szCs w:val="21"/>
                <w:lang w:eastAsia="en-GB"/>
              </w:rPr>
              <w:t>: BESC AND)</w:t>
            </w:r>
          </w:p>
          <w:p w14:paraId="342F9A6A" w14:textId="77777777" w:rsidR="00A2496D" w:rsidRPr="0083274A" w:rsidRDefault="003271A9" w:rsidP="00A2496D">
            <w:pPr>
              <w:spacing w:before="60" w:after="60"/>
              <w:rPr>
                <w:rFonts w:asciiTheme="minorHAnsi" w:hAnsiTheme="minorHAnsi" w:cs="Arial"/>
                <w:color w:val="1F497D" w:themeColor="text2"/>
                <w:sz w:val="21"/>
                <w:szCs w:val="21"/>
                <w:lang w:eastAsia="en-GB"/>
              </w:rPr>
            </w:pPr>
            <w:r w:rsidRPr="0083274A">
              <w:rPr>
                <w:rFonts w:asciiTheme="minorHAnsi" w:hAnsiTheme="minorHAnsi" w:cs="Arial"/>
                <w:color w:val="1F497D" w:themeColor="text2"/>
                <w:sz w:val="21"/>
                <w:szCs w:val="21"/>
                <w:lang w:eastAsia="en-GB"/>
              </w:rPr>
              <w:t>University Purchasing Department</w:t>
            </w:r>
          </w:p>
        </w:tc>
      </w:tr>
      <w:tr w:rsidR="00771CC4" w:rsidRPr="00257773" w14:paraId="342F9A71" w14:textId="77777777" w:rsidTr="00CF5B99">
        <w:tc>
          <w:tcPr>
            <w:tcW w:w="2268" w:type="dxa"/>
            <w:vAlign w:val="center"/>
          </w:tcPr>
          <w:p w14:paraId="342F9A6C" w14:textId="77777777" w:rsidR="003271A9" w:rsidRPr="0083274A" w:rsidRDefault="003271A9" w:rsidP="00B03934">
            <w:pPr>
              <w:spacing w:before="60" w:after="60"/>
              <w:rPr>
                <w:rFonts w:asciiTheme="minorHAnsi" w:hAnsiTheme="minorHAnsi" w:cs="Arial"/>
                <w:color w:val="1F497D" w:themeColor="text2"/>
                <w:sz w:val="21"/>
                <w:szCs w:val="21"/>
                <w:lang w:eastAsia="en-GB"/>
              </w:rPr>
            </w:pPr>
            <w:r w:rsidRPr="0083274A">
              <w:rPr>
                <w:rFonts w:asciiTheme="minorHAnsi" w:hAnsiTheme="minorHAnsi" w:cs="Arial"/>
                <w:color w:val="1F497D" w:themeColor="text2"/>
                <w:sz w:val="21"/>
                <w:szCs w:val="21"/>
                <w:lang w:eastAsia="en-GB"/>
              </w:rPr>
              <w:t>‘Overriding University interest’</w:t>
            </w:r>
          </w:p>
        </w:tc>
        <w:tc>
          <w:tcPr>
            <w:tcW w:w="1701" w:type="dxa"/>
            <w:vAlign w:val="center"/>
          </w:tcPr>
          <w:p w14:paraId="342F9A6D" w14:textId="77777777" w:rsidR="003271A9" w:rsidRPr="0083274A" w:rsidRDefault="003271A9" w:rsidP="00CF5B99">
            <w:pPr>
              <w:spacing w:before="60" w:after="60"/>
              <w:rPr>
                <w:rFonts w:asciiTheme="minorHAnsi" w:hAnsiTheme="minorHAnsi" w:cs="Arial"/>
                <w:color w:val="1F497D" w:themeColor="text2"/>
                <w:sz w:val="21"/>
                <w:szCs w:val="21"/>
                <w:lang w:eastAsia="en-GB"/>
              </w:rPr>
            </w:pPr>
            <w:r w:rsidRPr="0083274A">
              <w:rPr>
                <w:rFonts w:asciiTheme="minorHAnsi" w:hAnsiTheme="minorHAnsi" w:cs="Arial"/>
                <w:color w:val="1F497D" w:themeColor="text2"/>
                <w:sz w:val="21"/>
                <w:szCs w:val="21"/>
                <w:lang w:eastAsia="en-GB"/>
              </w:rPr>
              <w:t>Over £25</w:t>
            </w:r>
            <w:r w:rsidR="00CF5B99" w:rsidRPr="0083274A">
              <w:rPr>
                <w:rFonts w:asciiTheme="minorHAnsi" w:hAnsiTheme="minorHAnsi" w:cs="Arial"/>
                <w:color w:val="1F497D" w:themeColor="text2"/>
                <w:sz w:val="21"/>
                <w:szCs w:val="21"/>
                <w:lang w:eastAsia="en-GB"/>
              </w:rPr>
              <w:t>,000</w:t>
            </w:r>
          </w:p>
        </w:tc>
        <w:tc>
          <w:tcPr>
            <w:tcW w:w="3119" w:type="dxa"/>
            <w:vAlign w:val="center"/>
          </w:tcPr>
          <w:p w14:paraId="342F9A6E" w14:textId="77777777" w:rsidR="003271A9" w:rsidRPr="0083274A" w:rsidRDefault="003271A9" w:rsidP="00B03934">
            <w:pPr>
              <w:spacing w:before="60" w:after="60"/>
              <w:rPr>
                <w:rFonts w:asciiTheme="minorHAnsi" w:hAnsiTheme="minorHAnsi" w:cs="Arial"/>
                <w:color w:val="1F497D" w:themeColor="text2"/>
                <w:sz w:val="21"/>
                <w:szCs w:val="21"/>
                <w:lang w:eastAsia="en-GB"/>
              </w:rPr>
            </w:pPr>
            <w:r w:rsidRPr="0083274A">
              <w:rPr>
                <w:rFonts w:asciiTheme="minorHAnsi" w:hAnsiTheme="minorHAnsi" w:cs="Arial"/>
                <w:color w:val="1F497D" w:themeColor="text2"/>
                <w:sz w:val="21"/>
                <w:szCs w:val="21"/>
                <w:lang w:eastAsia="en-GB"/>
              </w:rPr>
              <w:t>Any</w:t>
            </w:r>
          </w:p>
        </w:tc>
        <w:tc>
          <w:tcPr>
            <w:tcW w:w="3118" w:type="dxa"/>
            <w:vAlign w:val="center"/>
          </w:tcPr>
          <w:p w14:paraId="342F9A6F" w14:textId="77777777" w:rsidR="003271A9" w:rsidRPr="0083274A" w:rsidRDefault="003271A9" w:rsidP="00B03934">
            <w:pPr>
              <w:spacing w:before="60" w:after="60"/>
              <w:rPr>
                <w:rFonts w:asciiTheme="minorHAnsi" w:hAnsiTheme="minorHAnsi" w:cs="Arial"/>
                <w:color w:val="1F497D" w:themeColor="text2"/>
                <w:sz w:val="21"/>
                <w:szCs w:val="21"/>
                <w:lang w:eastAsia="en-GB"/>
              </w:rPr>
            </w:pPr>
            <w:r w:rsidRPr="0083274A">
              <w:rPr>
                <w:rFonts w:asciiTheme="minorHAnsi" w:hAnsiTheme="minorHAnsi" w:cs="Arial"/>
                <w:color w:val="1F497D" w:themeColor="text2"/>
                <w:sz w:val="21"/>
                <w:szCs w:val="21"/>
                <w:lang w:eastAsia="en-GB"/>
              </w:rPr>
              <w:t>Head of Department or Administrator AND</w:t>
            </w:r>
          </w:p>
          <w:p w14:paraId="342F9A70" w14:textId="77777777" w:rsidR="003271A9" w:rsidRPr="0083274A" w:rsidRDefault="003271A9" w:rsidP="00B03934">
            <w:pPr>
              <w:spacing w:before="60" w:after="60"/>
              <w:rPr>
                <w:rFonts w:asciiTheme="minorHAnsi" w:hAnsiTheme="minorHAnsi" w:cs="Arial"/>
                <w:color w:val="1F497D" w:themeColor="text2"/>
                <w:sz w:val="21"/>
                <w:szCs w:val="21"/>
                <w:lang w:eastAsia="en-GB"/>
              </w:rPr>
            </w:pPr>
            <w:r w:rsidRPr="0083274A">
              <w:rPr>
                <w:rFonts w:asciiTheme="minorHAnsi" w:hAnsiTheme="minorHAnsi" w:cs="Arial"/>
                <w:color w:val="1F497D" w:themeColor="text2"/>
                <w:sz w:val="21"/>
                <w:szCs w:val="21"/>
                <w:lang w:eastAsia="en-GB"/>
              </w:rPr>
              <w:t>Director of Purchasing or Director of Finance</w:t>
            </w:r>
            <w:r w:rsidR="00C14974" w:rsidRPr="0083274A">
              <w:rPr>
                <w:rFonts w:asciiTheme="minorHAnsi" w:hAnsiTheme="minorHAnsi" w:cs="Arial"/>
                <w:color w:val="1F497D" w:themeColor="text2"/>
                <w:sz w:val="21"/>
                <w:szCs w:val="21"/>
                <w:lang w:eastAsia="en-GB"/>
              </w:rPr>
              <w:t xml:space="preserve"> (submit via University Purchasing Department)</w:t>
            </w:r>
          </w:p>
        </w:tc>
      </w:tr>
    </w:tbl>
    <w:p w14:paraId="342F9A72" w14:textId="77777777" w:rsidR="006A1B28" w:rsidRDefault="006A1B28" w:rsidP="006A1B28">
      <w:pPr>
        <w:rPr>
          <w:rFonts w:asciiTheme="minorHAnsi" w:hAnsiTheme="minorHAnsi" w:cs="Arial"/>
          <w:sz w:val="20"/>
          <w:szCs w:val="20"/>
          <w:u w:val="single"/>
          <w:lang w:eastAsia="en-GB"/>
        </w:rPr>
      </w:pPr>
    </w:p>
    <w:sectPr w:rsidR="006A1B28" w:rsidSect="0040091E">
      <w:headerReference w:type="default" r:id="rId15"/>
      <w:footerReference w:type="default" r:id="rId16"/>
      <w:pgSz w:w="11907" w:h="16839" w:code="9"/>
      <w:pgMar w:top="1843" w:right="1020" w:bottom="426" w:left="567" w:header="708" w:footer="42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2F9A75" w14:textId="77777777" w:rsidR="00CF5B99" w:rsidRDefault="00CF5B99" w:rsidP="00737E8B">
      <w:r>
        <w:separator/>
      </w:r>
    </w:p>
  </w:endnote>
  <w:endnote w:type="continuationSeparator" w:id="0">
    <w:p w14:paraId="342F9A76" w14:textId="77777777" w:rsidR="00CF5B99" w:rsidRDefault="00CF5B99" w:rsidP="00737E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2F9A78" w14:textId="77777777" w:rsidR="00CF5B99" w:rsidRDefault="005516DF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42F9A7D" wp14:editId="342F9A7E">
              <wp:simplePos x="0" y="0"/>
              <wp:positionH relativeFrom="column">
                <wp:posOffset>-420370</wp:posOffset>
              </wp:positionH>
              <wp:positionV relativeFrom="paragraph">
                <wp:posOffset>-50800</wp:posOffset>
              </wp:positionV>
              <wp:extent cx="7718425" cy="525145"/>
              <wp:effectExtent l="19050" t="19050" r="34925" b="65405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718425" cy="525145"/>
                      </a:xfrm>
                      <a:prstGeom prst="rect">
                        <a:avLst/>
                      </a:prstGeom>
                      <a:solidFill>
                        <a:srgbClr val="002147"/>
                      </a:solidFill>
                      <a:ln w="38100">
                        <a:solidFill>
                          <a:srgbClr val="F2F2F2"/>
                        </a:solidFill>
                        <a:miter lim="800000"/>
                        <a:headEnd/>
                        <a:tailEnd/>
                      </a:ln>
                      <a:effectLst>
                        <a:outerShdw dist="28398" dir="3806097" algn="ctr" rotWithShape="0">
                          <a:srgbClr val="7F7F7F">
                            <a:alpha val="50000"/>
                          </a:srgbClr>
                        </a:outerShdw>
                      </a:effectLst>
                    </wps:spPr>
                    <wps:txbx>
                      <w:txbxContent>
                        <w:p w14:paraId="342F9A82" w14:textId="77777777" w:rsidR="00CF5B99" w:rsidRPr="00FE050F" w:rsidRDefault="00CF5B99" w:rsidP="00737E8B">
                          <w:pPr>
                            <w:spacing w:before="120"/>
                            <w:jc w:val="center"/>
                            <w:rPr>
                              <w:rFonts w:ascii="Calibri" w:hAnsi="Calibri" w:cs="Arial"/>
                              <w:b/>
                              <w:szCs w:val="16"/>
                            </w:rPr>
                          </w:pPr>
                          <w:r w:rsidRPr="00FE050F">
                            <w:rPr>
                              <w:rFonts w:ascii="Calibri" w:hAnsi="Calibri" w:cs="Arial"/>
                              <w:b/>
                              <w:szCs w:val="16"/>
                            </w:rPr>
                            <w:t>Visit our website for further details: www.admin.ox.ac.uk/finance/</w:t>
                          </w:r>
                          <w:r w:rsidR="00D21983">
                            <w:rPr>
                              <w:rFonts w:ascii="Calibri" w:hAnsi="Calibri" w:cs="Arial"/>
                              <w:b/>
                              <w:szCs w:val="16"/>
                            </w:rPr>
                            <w:t>ppt/</w:t>
                          </w:r>
                          <w:r>
                            <w:rPr>
                              <w:rFonts w:ascii="Calibri" w:hAnsi="Calibri" w:cs="Arial"/>
                              <w:b/>
                              <w:szCs w:val="16"/>
                            </w:rPr>
                            <w:t>purchasing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42F9A7D" id="Rectangle 1" o:spid="_x0000_s1027" style="position:absolute;margin-left:-33.1pt;margin-top:-4pt;width:607.75pt;height:41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" fillcolor="#002147" strokecolor="#f2f2f2" strokeweight="3pt">
              <v:shadow on="t" color="#7f7f7f" opacity=".5" offset="1pt"/>
              <v:textbox>
                <w:txbxContent>
                  <w:p w14:paraId="342F9A82" w14:textId="77777777" w:rsidR="00CF5B99" w:rsidRPr="00FE050F" w:rsidRDefault="00CF5B99" w:rsidP="00737E8B">
                    <w:pPr>
                      <w:spacing w:before="120"/>
                      <w:jc w:val="center"/>
                      <w:rPr>
                        <w:rFonts w:ascii="Calibri" w:hAnsi="Calibri" w:cs="Arial"/>
                        <w:b/>
                        <w:szCs w:val="16"/>
                      </w:rPr>
                    </w:pPr>
                    <w:r w:rsidRPr="00FE050F">
                      <w:rPr>
                        <w:rFonts w:ascii="Calibri" w:hAnsi="Calibri" w:cs="Arial"/>
                        <w:b/>
                        <w:szCs w:val="16"/>
                      </w:rPr>
                      <w:t>Visit our website for further details: www.admin.ox.ac.uk/finance/</w:t>
                    </w:r>
                    <w:r w:rsidR="00D21983">
                      <w:rPr>
                        <w:rFonts w:ascii="Calibri" w:hAnsi="Calibri" w:cs="Arial"/>
                        <w:b/>
                        <w:szCs w:val="16"/>
                      </w:rPr>
                      <w:t>ppt/</w:t>
                    </w:r>
                    <w:r>
                      <w:rPr>
                        <w:rFonts w:ascii="Calibri" w:hAnsi="Calibri" w:cs="Arial"/>
                        <w:b/>
                        <w:szCs w:val="16"/>
                      </w:rPr>
                      <w:t>purchasing</w:t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2F9A73" w14:textId="77777777" w:rsidR="00CF5B99" w:rsidRDefault="00CF5B99" w:rsidP="00737E8B">
      <w:r>
        <w:separator/>
      </w:r>
    </w:p>
  </w:footnote>
  <w:footnote w:type="continuationSeparator" w:id="0">
    <w:p w14:paraId="342F9A74" w14:textId="77777777" w:rsidR="00CF5B99" w:rsidRDefault="00CF5B99" w:rsidP="00737E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2F9A77" w14:textId="77777777" w:rsidR="00CF5B99" w:rsidRDefault="005516DF">
    <w:pPr>
      <w:pStyle w:val="Head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42F9A79" wp14:editId="342F9A7A">
              <wp:simplePos x="0" y="0"/>
              <wp:positionH relativeFrom="column">
                <wp:posOffset>-420370</wp:posOffset>
              </wp:positionH>
              <wp:positionV relativeFrom="paragraph">
                <wp:posOffset>-468630</wp:posOffset>
              </wp:positionV>
              <wp:extent cx="7613650" cy="1152525"/>
              <wp:effectExtent l="19050" t="19050" r="44450" b="66675"/>
              <wp:wrapNone/>
              <wp:docPr id="3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13650" cy="1152525"/>
                      </a:xfrm>
                      <a:prstGeom prst="rect">
                        <a:avLst/>
                      </a:prstGeom>
                      <a:solidFill>
                        <a:srgbClr val="002147"/>
                      </a:solidFill>
                      <a:ln w="38100">
                        <a:solidFill>
                          <a:srgbClr val="F2F2F2"/>
                        </a:solidFill>
                        <a:miter lim="800000"/>
                        <a:headEnd/>
                        <a:tailEnd/>
                      </a:ln>
                      <a:effectLst>
                        <a:outerShdw dist="28398" dir="3806097" algn="ctr" rotWithShape="0">
                          <a:srgbClr val="7F7F7F">
                            <a:alpha val="50000"/>
                          </a:srgbClr>
                        </a:outerShdw>
                      </a:effectLst>
                    </wps:spPr>
                    <wps:txbx>
                      <w:txbxContent>
                        <w:p w14:paraId="342F9A7F" w14:textId="77777777" w:rsidR="00CF5B99" w:rsidRPr="00FE050F" w:rsidRDefault="00CF5B99" w:rsidP="004368F9">
                          <w:pPr>
                            <w:rPr>
                              <w:rFonts w:ascii="Calibri" w:hAnsi="Calibri" w:cs="Arial"/>
                              <w:b/>
                              <w:sz w:val="44"/>
                              <w:szCs w:val="40"/>
                            </w:rPr>
                          </w:pPr>
                        </w:p>
                        <w:p w14:paraId="342F9A80" w14:textId="77777777" w:rsidR="00CF5B99" w:rsidRDefault="00CF5B99" w:rsidP="004368F9">
                          <w:pPr>
                            <w:ind w:left="1843"/>
                            <w:rPr>
                              <w:rFonts w:ascii="Calibri" w:hAnsi="Calibri" w:cs="Arial"/>
                              <w:b/>
                              <w:sz w:val="44"/>
                              <w:szCs w:val="40"/>
                            </w:rPr>
                          </w:pPr>
                          <w:r>
                            <w:rPr>
                              <w:rFonts w:ascii="Calibri" w:hAnsi="Calibri" w:cs="Arial"/>
                              <w:b/>
                              <w:sz w:val="44"/>
                              <w:szCs w:val="40"/>
                            </w:rPr>
                            <w:t>PURCHASING DEPARTMENT</w:t>
                          </w:r>
                        </w:p>
                        <w:p w14:paraId="342F9A81" w14:textId="77777777" w:rsidR="00CF5B99" w:rsidRPr="00737E8B" w:rsidRDefault="00CF5B99" w:rsidP="004368F9">
                          <w:pPr>
                            <w:ind w:left="1843"/>
                            <w:rPr>
                              <w:sz w:val="20"/>
                            </w:rPr>
                          </w:pPr>
                          <w:r w:rsidRPr="00737E8B">
                            <w:rPr>
                              <w:rFonts w:ascii="Calibri" w:hAnsi="Calibri" w:cs="Arial"/>
                              <w:sz w:val="36"/>
                              <w:szCs w:val="40"/>
                            </w:rPr>
                            <w:t>Finance Division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42F9A79" id="Rectangle 2" o:spid="_x0000_s1026" style="position:absolute;margin-left:-33.1pt;margin-top:-36.9pt;width:599.5pt;height:90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" fillcolor="#002147" strokecolor="#f2f2f2" strokeweight="3pt">
              <v:shadow on="t" color="#7f7f7f" opacity=".5" offset="1pt"/>
              <v:textbox>
                <w:txbxContent>
                  <w:p w14:paraId="342F9A7F" w14:textId="77777777" w:rsidR="00CF5B99" w:rsidRPr="00FE050F" w:rsidRDefault="00CF5B99" w:rsidP="004368F9">
                    <w:pPr>
                      <w:rPr>
                        <w:rFonts w:ascii="Calibri" w:hAnsi="Calibri" w:cs="Arial"/>
                        <w:b/>
                        <w:sz w:val="44"/>
                        <w:szCs w:val="40"/>
                      </w:rPr>
                    </w:pPr>
                  </w:p>
                  <w:p w14:paraId="342F9A80" w14:textId="77777777" w:rsidR="00CF5B99" w:rsidRDefault="00CF5B99" w:rsidP="004368F9">
                    <w:pPr>
                      <w:ind w:left="1843"/>
                      <w:rPr>
                        <w:rFonts w:ascii="Calibri" w:hAnsi="Calibri" w:cs="Arial"/>
                        <w:b/>
                        <w:sz w:val="44"/>
                        <w:szCs w:val="40"/>
                      </w:rPr>
                    </w:pPr>
                    <w:r>
                      <w:rPr>
                        <w:rFonts w:ascii="Calibri" w:hAnsi="Calibri" w:cs="Arial"/>
                        <w:b/>
                        <w:sz w:val="44"/>
                        <w:szCs w:val="40"/>
                      </w:rPr>
                      <w:t>PURCHASING DEPARTMENT</w:t>
                    </w:r>
                  </w:p>
                  <w:p w14:paraId="342F9A81" w14:textId="77777777" w:rsidR="00CF5B99" w:rsidRPr="00737E8B" w:rsidRDefault="00CF5B99" w:rsidP="004368F9">
                    <w:pPr>
                      <w:ind w:left="1843"/>
                      <w:rPr>
                        <w:sz w:val="20"/>
                      </w:rPr>
                    </w:pPr>
                    <w:r w:rsidRPr="00737E8B">
                      <w:rPr>
                        <w:rFonts w:ascii="Calibri" w:hAnsi="Calibri" w:cs="Arial"/>
                        <w:sz w:val="36"/>
                        <w:szCs w:val="40"/>
                      </w:rPr>
                      <w:t>Finance Division</w:t>
                    </w:r>
                  </w:p>
                </w:txbxContent>
              </v:textbox>
            </v:rect>
          </w:pict>
        </mc:Fallback>
      </mc:AlternateContent>
    </w:r>
    <w:r w:rsidR="00CF5B99" w:rsidRPr="004368F9">
      <w:rPr>
        <w:noProof/>
        <w:lang w:eastAsia="en-GB"/>
      </w:rPr>
      <w:drawing>
        <wp:anchor distT="0" distB="0" distL="114300" distR="114300" simplePos="0" relativeHeight="251661312" behindDoc="0" locked="0" layoutInCell="1" allowOverlap="1" wp14:anchorId="342F9A7B" wp14:editId="342F9A7C">
          <wp:simplePos x="0" y="0"/>
          <wp:positionH relativeFrom="column">
            <wp:posOffset>-32651</wp:posOffset>
          </wp:positionH>
          <wp:positionV relativeFrom="paragraph">
            <wp:posOffset>-162501</wp:posOffset>
          </wp:positionV>
          <wp:extent cx="725229" cy="723014"/>
          <wp:effectExtent l="19050" t="0" r="0" b="0"/>
          <wp:wrapNone/>
          <wp:docPr id="2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5229" cy="72301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.25pt;height:9.25pt" o:bullet="t">
        <v:imagedata r:id="rId1" o:title="BD14985_"/>
      </v:shape>
    </w:pict>
  </w:numPicBullet>
  <w:numPicBullet w:numPicBulletId="1">
    <w:pict>
      <v:shape id="_x0000_i1027" type="#_x0000_t75" style="width:3.45pt;height:3.45pt" o:bullet="t">
        <v:imagedata r:id="rId2" o:title="bullet"/>
      </v:shape>
    </w:pict>
  </w:numPicBullet>
  <w:abstractNum w:abstractNumId="0" w15:restartNumberingAfterBreak="0">
    <w:nsid w:val="FFFFFF83"/>
    <w:multiLevelType w:val="singleLevel"/>
    <w:tmpl w:val="DCA2E24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FA46D1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F9D2511"/>
    <w:multiLevelType w:val="hybridMultilevel"/>
    <w:tmpl w:val="A20AC2DA"/>
    <w:lvl w:ilvl="0" w:tplc="0809000B">
      <w:start w:val="1"/>
      <w:numFmt w:val="bullet"/>
      <w:lvlText w:val=""/>
      <w:lvlJc w:val="left"/>
      <w:pPr>
        <w:ind w:left="150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" w15:restartNumberingAfterBreak="0">
    <w:nsid w:val="1FA77CB2"/>
    <w:multiLevelType w:val="hybridMultilevel"/>
    <w:tmpl w:val="526A31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EE0E63"/>
    <w:multiLevelType w:val="multilevel"/>
    <w:tmpl w:val="E84C5FA2"/>
    <w:lvl w:ilvl="0">
      <w:start w:val="1"/>
      <w:numFmt w:val="bullet"/>
      <w:lvlRestart w:val="0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  <w:color w:val="auto"/>
      </w:rPr>
    </w:lvl>
    <w:lvl w:ilvl="1">
      <w:start w:val="1"/>
      <w:numFmt w:val="none"/>
      <w:pStyle w:val="ListContinue"/>
      <w:suff w:val="nothing"/>
      <w:lvlText w:val=""/>
      <w:lvlJc w:val="left"/>
      <w:pPr>
        <w:ind w:left="1134" w:firstLine="0"/>
      </w:pPr>
      <w:rPr>
        <w:color w:val="auto"/>
      </w:rPr>
    </w:lvl>
    <w:lvl w:ilvl="2">
      <w:start w:val="1"/>
      <w:numFmt w:val="bullet"/>
      <w:pStyle w:val="ListBullet2"/>
      <w:lvlText w:val="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color w:val="auto"/>
      </w:rPr>
    </w:lvl>
    <w:lvl w:ilvl="3">
      <w:start w:val="1"/>
      <w:numFmt w:val="none"/>
      <w:pStyle w:val="ListContinue2"/>
      <w:suff w:val="nothing"/>
      <w:lvlText w:val=""/>
      <w:lvlJc w:val="left"/>
      <w:pPr>
        <w:ind w:left="1701" w:firstLine="0"/>
      </w:pPr>
      <w:rPr>
        <w:color w:val="auto"/>
      </w:rPr>
    </w:lvl>
    <w:lvl w:ilvl="4">
      <w:start w:val="1"/>
      <w:numFmt w:val="none"/>
      <w:suff w:val="nothing"/>
      <w:lvlText w:val=""/>
      <w:lvlJc w:val="left"/>
      <w:pPr>
        <w:ind w:left="567" w:firstLine="0"/>
      </w:pPr>
      <w:rPr>
        <w:color w:val="auto"/>
      </w:rPr>
    </w:lvl>
    <w:lvl w:ilvl="5">
      <w:start w:val="1"/>
      <w:numFmt w:val="none"/>
      <w:suff w:val="nothing"/>
      <w:lvlText w:val=""/>
      <w:lvlJc w:val="left"/>
      <w:pPr>
        <w:ind w:left="567" w:firstLine="0"/>
      </w:pPr>
      <w:rPr>
        <w:color w:val="auto"/>
      </w:rPr>
    </w:lvl>
    <w:lvl w:ilvl="6">
      <w:start w:val="1"/>
      <w:numFmt w:val="none"/>
      <w:suff w:val="nothing"/>
      <w:lvlText w:val=""/>
      <w:lvlJc w:val="left"/>
      <w:pPr>
        <w:ind w:left="567" w:firstLine="0"/>
      </w:pPr>
      <w:rPr>
        <w:color w:val="auto"/>
      </w:rPr>
    </w:lvl>
    <w:lvl w:ilvl="7">
      <w:start w:val="1"/>
      <w:numFmt w:val="none"/>
      <w:suff w:val="nothing"/>
      <w:lvlText w:val=""/>
      <w:lvlJc w:val="left"/>
      <w:pPr>
        <w:ind w:left="567" w:firstLine="0"/>
      </w:pPr>
      <w:rPr>
        <w:color w:val="auto"/>
      </w:rPr>
    </w:lvl>
    <w:lvl w:ilvl="8">
      <w:start w:val="1"/>
      <w:numFmt w:val="none"/>
      <w:suff w:val="nothing"/>
      <w:lvlText w:val=""/>
      <w:lvlJc w:val="left"/>
      <w:pPr>
        <w:ind w:left="567" w:firstLine="0"/>
      </w:pPr>
      <w:rPr>
        <w:color w:val="auto"/>
      </w:rPr>
    </w:lvl>
  </w:abstractNum>
  <w:abstractNum w:abstractNumId="5" w15:restartNumberingAfterBreak="0">
    <w:nsid w:val="253E0094"/>
    <w:multiLevelType w:val="hybridMultilevel"/>
    <w:tmpl w:val="5530825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BC531D"/>
    <w:multiLevelType w:val="hybridMultilevel"/>
    <w:tmpl w:val="81C847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39D56CF2"/>
    <w:multiLevelType w:val="hybridMultilevel"/>
    <w:tmpl w:val="888AA3B8"/>
    <w:lvl w:ilvl="0" w:tplc="E5EAF856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D0184D"/>
    <w:multiLevelType w:val="hybridMultilevel"/>
    <w:tmpl w:val="2112FA38"/>
    <w:lvl w:ilvl="0" w:tplc="080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9" w15:restartNumberingAfterBreak="0">
    <w:nsid w:val="4FC0319C"/>
    <w:multiLevelType w:val="hybridMultilevel"/>
    <w:tmpl w:val="B3B6018C"/>
    <w:lvl w:ilvl="0" w:tplc="0809000B">
      <w:start w:val="1"/>
      <w:numFmt w:val="bullet"/>
      <w:lvlText w:val=""/>
      <w:lvlJc w:val="left"/>
      <w:pPr>
        <w:ind w:left="150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0" w15:restartNumberingAfterBreak="0">
    <w:nsid w:val="57C2746A"/>
    <w:multiLevelType w:val="hybridMultilevel"/>
    <w:tmpl w:val="175A3A28"/>
    <w:lvl w:ilvl="0" w:tplc="0F4A0430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AC60A69"/>
    <w:multiLevelType w:val="hybridMultilevel"/>
    <w:tmpl w:val="6C1E2DB0"/>
    <w:lvl w:ilvl="0" w:tplc="29284B68">
      <w:start w:val="1"/>
      <w:numFmt w:val="bullet"/>
      <w:lvlText w:val=""/>
      <w:lvlPicBulletId w:val="1"/>
      <w:lvlJc w:val="left"/>
      <w:pPr>
        <w:ind w:left="1429" w:hanging="360"/>
      </w:pPr>
      <w:rPr>
        <w:rFonts w:ascii="Symbol" w:hAnsi="Symbol" w:hint="default"/>
        <w:color w:val="auto"/>
        <w:sz w:val="1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2C172E"/>
    <w:multiLevelType w:val="hybridMultilevel"/>
    <w:tmpl w:val="F530C85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4"/>
  </w:num>
  <w:num w:numId="5">
    <w:abstractNumId w:val="2"/>
  </w:num>
  <w:num w:numId="6">
    <w:abstractNumId w:val="9"/>
  </w:num>
  <w:num w:numId="7">
    <w:abstractNumId w:val="11"/>
  </w:num>
  <w:num w:numId="8">
    <w:abstractNumId w:val="5"/>
  </w:num>
  <w:num w:numId="9">
    <w:abstractNumId w:val="10"/>
  </w:num>
  <w:num w:numId="10">
    <w:abstractNumId w:val="12"/>
  </w:num>
  <w:num w:numId="11">
    <w:abstractNumId w:val="7"/>
  </w:num>
  <w:num w:numId="12">
    <w:abstractNumId w:val="3"/>
  </w:num>
  <w:num w:numId="1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hideSpellingErrors/>
  <w:hideGrammaticalErrors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A29"/>
    <w:rsid w:val="00010171"/>
    <w:rsid w:val="00026ACD"/>
    <w:rsid w:val="00026C22"/>
    <w:rsid w:val="0004151A"/>
    <w:rsid w:val="000435EB"/>
    <w:rsid w:val="00086B02"/>
    <w:rsid w:val="000A0D32"/>
    <w:rsid w:val="000A2E33"/>
    <w:rsid w:val="000A6D2A"/>
    <w:rsid w:val="000B2B10"/>
    <w:rsid w:val="000C722B"/>
    <w:rsid w:val="000F04DC"/>
    <w:rsid w:val="00157330"/>
    <w:rsid w:val="00187A6C"/>
    <w:rsid w:val="001A4CCC"/>
    <w:rsid w:val="001B3B6E"/>
    <w:rsid w:val="001C03C2"/>
    <w:rsid w:val="001D73D1"/>
    <w:rsid w:val="001E1C33"/>
    <w:rsid w:val="001E7CCA"/>
    <w:rsid w:val="002171AE"/>
    <w:rsid w:val="002318D9"/>
    <w:rsid w:val="002465EE"/>
    <w:rsid w:val="00251655"/>
    <w:rsid w:val="00257773"/>
    <w:rsid w:val="0026497D"/>
    <w:rsid w:val="00265D3E"/>
    <w:rsid w:val="00287C92"/>
    <w:rsid w:val="002C1304"/>
    <w:rsid w:val="002F0641"/>
    <w:rsid w:val="002F50D4"/>
    <w:rsid w:val="00306115"/>
    <w:rsid w:val="003271A9"/>
    <w:rsid w:val="00336FD7"/>
    <w:rsid w:val="00352E61"/>
    <w:rsid w:val="003C0935"/>
    <w:rsid w:val="003F24D8"/>
    <w:rsid w:val="003F5A2B"/>
    <w:rsid w:val="0040091E"/>
    <w:rsid w:val="00422252"/>
    <w:rsid w:val="00431A9D"/>
    <w:rsid w:val="00431AAC"/>
    <w:rsid w:val="00433C39"/>
    <w:rsid w:val="004368F9"/>
    <w:rsid w:val="00452EAF"/>
    <w:rsid w:val="00461A0C"/>
    <w:rsid w:val="00464A9E"/>
    <w:rsid w:val="004904B6"/>
    <w:rsid w:val="004A13DB"/>
    <w:rsid w:val="004A41CA"/>
    <w:rsid w:val="004A7DE4"/>
    <w:rsid w:val="004B038E"/>
    <w:rsid w:val="004B5A59"/>
    <w:rsid w:val="004B7F43"/>
    <w:rsid w:val="004C1206"/>
    <w:rsid w:val="004F0828"/>
    <w:rsid w:val="00533C07"/>
    <w:rsid w:val="0054054F"/>
    <w:rsid w:val="00550855"/>
    <w:rsid w:val="005516DF"/>
    <w:rsid w:val="0056226B"/>
    <w:rsid w:val="00566AF9"/>
    <w:rsid w:val="00576085"/>
    <w:rsid w:val="00590A29"/>
    <w:rsid w:val="005A758C"/>
    <w:rsid w:val="005D3E31"/>
    <w:rsid w:val="005D7102"/>
    <w:rsid w:val="00614791"/>
    <w:rsid w:val="00617FB8"/>
    <w:rsid w:val="00636177"/>
    <w:rsid w:val="006400E4"/>
    <w:rsid w:val="00674242"/>
    <w:rsid w:val="00690244"/>
    <w:rsid w:val="006A1B28"/>
    <w:rsid w:val="006B3AAE"/>
    <w:rsid w:val="006D1A4B"/>
    <w:rsid w:val="006D7789"/>
    <w:rsid w:val="006E2F45"/>
    <w:rsid w:val="00711848"/>
    <w:rsid w:val="00737E8B"/>
    <w:rsid w:val="00744634"/>
    <w:rsid w:val="00747B89"/>
    <w:rsid w:val="00753D69"/>
    <w:rsid w:val="00771CC4"/>
    <w:rsid w:val="00773420"/>
    <w:rsid w:val="00792639"/>
    <w:rsid w:val="00792C7A"/>
    <w:rsid w:val="00797B4C"/>
    <w:rsid w:val="007A305C"/>
    <w:rsid w:val="007A5204"/>
    <w:rsid w:val="007A6E00"/>
    <w:rsid w:val="007B74AA"/>
    <w:rsid w:val="007D623E"/>
    <w:rsid w:val="007E0D37"/>
    <w:rsid w:val="007F5EE4"/>
    <w:rsid w:val="00803938"/>
    <w:rsid w:val="00805D6A"/>
    <w:rsid w:val="00816074"/>
    <w:rsid w:val="0083274A"/>
    <w:rsid w:val="008346DD"/>
    <w:rsid w:val="00847EA0"/>
    <w:rsid w:val="00864D56"/>
    <w:rsid w:val="00867D4B"/>
    <w:rsid w:val="008820E7"/>
    <w:rsid w:val="008841F4"/>
    <w:rsid w:val="00895C26"/>
    <w:rsid w:val="008C193E"/>
    <w:rsid w:val="008C3E0A"/>
    <w:rsid w:val="008C5876"/>
    <w:rsid w:val="009533FA"/>
    <w:rsid w:val="009545F0"/>
    <w:rsid w:val="00982CBC"/>
    <w:rsid w:val="0098558E"/>
    <w:rsid w:val="00992641"/>
    <w:rsid w:val="009B41C5"/>
    <w:rsid w:val="009C5E90"/>
    <w:rsid w:val="009C6928"/>
    <w:rsid w:val="009D0093"/>
    <w:rsid w:val="009D15E0"/>
    <w:rsid w:val="009E5A34"/>
    <w:rsid w:val="009F0AAF"/>
    <w:rsid w:val="009F41AC"/>
    <w:rsid w:val="00A13CF1"/>
    <w:rsid w:val="00A14B55"/>
    <w:rsid w:val="00A2411C"/>
    <w:rsid w:val="00A2496D"/>
    <w:rsid w:val="00A334EA"/>
    <w:rsid w:val="00A35DD9"/>
    <w:rsid w:val="00A3749B"/>
    <w:rsid w:val="00A776B7"/>
    <w:rsid w:val="00A823A4"/>
    <w:rsid w:val="00A85AAF"/>
    <w:rsid w:val="00A8782D"/>
    <w:rsid w:val="00A94D7D"/>
    <w:rsid w:val="00AA4F1F"/>
    <w:rsid w:val="00AA5856"/>
    <w:rsid w:val="00AB1F32"/>
    <w:rsid w:val="00AC6220"/>
    <w:rsid w:val="00AD44F3"/>
    <w:rsid w:val="00AE71C7"/>
    <w:rsid w:val="00B03477"/>
    <w:rsid w:val="00B03934"/>
    <w:rsid w:val="00B15D82"/>
    <w:rsid w:val="00B23611"/>
    <w:rsid w:val="00B75AB2"/>
    <w:rsid w:val="00B76A5B"/>
    <w:rsid w:val="00BB50C3"/>
    <w:rsid w:val="00BE6F95"/>
    <w:rsid w:val="00BF60DD"/>
    <w:rsid w:val="00C14974"/>
    <w:rsid w:val="00C156C9"/>
    <w:rsid w:val="00C1570C"/>
    <w:rsid w:val="00C16A6B"/>
    <w:rsid w:val="00C219F6"/>
    <w:rsid w:val="00C22557"/>
    <w:rsid w:val="00C35E27"/>
    <w:rsid w:val="00C364F1"/>
    <w:rsid w:val="00C72D68"/>
    <w:rsid w:val="00CD5256"/>
    <w:rsid w:val="00CD63EB"/>
    <w:rsid w:val="00CF2A5A"/>
    <w:rsid w:val="00CF509F"/>
    <w:rsid w:val="00CF5B99"/>
    <w:rsid w:val="00D07485"/>
    <w:rsid w:val="00D15A39"/>
    <w:rsid w:val="00D1731F"/>
    <w:rsid w:val="00D2113E"/>
    <w:rsid w:val="00D21983"/>
    <w:rsid w:val="00D64F7B"/>
    <w:rsid w:val="00D76647"/>
    <w:rsid w:val="00DA37CB"/>
    <w:rsid w:val="00DA603E"/>
    <w:rsid w:val="00DC39F1"/>
    <w:rsid w:val="00DE0898"/>
    <w:rsid w:val="00DE33D8"/>
    <w:rsid w:val="00DE5BC5"/>
    <w:rsid w:val="00DE6626"/>
    <w:rsid w:val="00DF1747"/>
    <w:rsid w:val="00DF4C84"/>
    <w:rsid w:val="00E04F21"/>
    <w:rsid w:val="00E25072"/>
    <w:rsid w:val="00E321BD"/>
    <w:rsid w:val="00E372A4"/>
    <w:rsid w:val="00E432F3"/>
    <w:rsid w:val="00E45880"/>
    <w:rsid w:val="00E80A4F"/>
    <w:rsid w:val="00EA5A2C"/>
    <w:rsid w:val="00EA6711"/>
    <w:rsid w:val="00EC3121"/>
    <w:rsid w:val="00ED28D4"/>
    <w:rsid w:val="00ED77E8"/>
    <w:rsid w:val="00EE0BF1"/>
    <w:rsid w:val="00EF6445"/>
    <w:rsid w:val="00EF7FD9"/>
    <w:rsid w:val="00F12622"/>
    <w:rsid w:val="00F24838"/>
    <w:rsid w:val="00F33410"/>
    <w:rsid w:val="00F364C0"/>
    <w:rsid w:val="00F53B97"/>
    <w:rsid w:val="00F6514B"/>
    <w:rsid w:val="00F87B65"/>
    <w:rsid w:val="00FB76C8"/>
    <w:rsid w:val="00FE7ADB"/>
    <w:rsid w:val="00FF0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42F9A18"/>
  <w15:docId w15:val="{D1EF284A-9E02-4A62-8D67-56155EB46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0093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autoRedefine/>
    <w:semiHidden/>
    <w:rsid w:val="009D0093"/>
    <w:pPr>
      <w:ind w:left="142"/>
      <w:jc w:val="center"/>
    </w:pPr>
    <w:rPr>
      <w:rFonts w:ascii="Arial" w:hAnsi="Arial" w:cs="Arial"/>
      <w:color w:val="FFFFFF"/>
      <w:sz w:val="28"/>
    </w:rPr>
  </w:style>
  <w:style w:type="paragraph" w:styleId="ListContinue">
    <w:name w:val="List Continue"/>
    <w:basedOn w:val="Normal"/>
    <w:semiHidden/>
    <w:rsid w:val="009D0093"/>
    <w:pPr>
      <w:numPr>
        <w:ilvl w:val="1"/>
        <w:numId w:val="3"/>
      </w:numPr>
      <w:tabs>
        <w:tab w:val="left" w:pos="567"/>
      </w:tabs>
      <w:spacing w:after="240"/>
    </w:pPr>
  </w:style>
  <w:style w:type="paragraph" w:styleId="ListBullet2">
    <w:name w:val="List Bullet 2"/>
    <w:basedOn w:val="Normal"/>
    <w:autoRedefine/>
    <w:semiHidden/>
    <w:rsid w:val="009D0093"/>
    <w:pPr>
      <w:numPr>
        <w:ilvl w:val="2"/>
        <w:numId w:val="3"/>
      </w:numPr>
    </w:pPr>
  </w:style>
  <w:style w:type="paragraph" w:styleId="ListContinue2">
    <w:name w:val="List Continue 2"/>
    <w:basedOn w:val="Normal"/>
    <w:semiHidden/>
    <w:rsid w:val="009D0093"/>
    <w:pPr>
      <w:numPr>
        <w:ilvl w:val="3"/>
        <w:numId w:val="3"/>
      </w:numPr>
      <w:tabs>
        <w:tab w:val="left" w:pos="567"/>
      </w:tabs>
      <w:spacing w:after="24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E5BC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5BC5"/>
    <w:rPr>
      <w:rFonts w:ascii="Tahoma" w:hAnsi="Tahoma" w:cs="Tahoma"/>
      <w:sz w:val="16"/>
      <w:szCs w:val="16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737E8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37E8B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737E8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37E8B"/>
    <w:rPr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4368F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7608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7608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76085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7608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76085"/>
    <w:rPr>
      <w:b/>
      <w:bCs/>
      <w:lang w:eastAsia="en-US"/>
    </w:rPr>
  </w:style>
  <w:style w:type="paragraph" w:styleId="NormalWeb">
    <w:name w:val="Normal (Web)"/>
    <w:basedOn w:val="Normal"/>
    <w:uiPriority w:val="99"/>
    <w:unhideWhenUsed/>
    <w:rsid w:val="000A6D2A"/>
    <w:pPr>
      <w:spacing w:before="100" w:beforeAutospacing="1" w:after="100" w:afterAutospacing="1"/>
    </w:pPr>
    <w:rPr>
      <w:lang w:eastAsia="en-GB"/>
    </w:rPr>
  </w:style>
  <w:style w:type="table" w:styleId="TableGrid">
    <w:name w:val="Table Grid"/>
    <w:basedOn w:val="TableNormal"/>
    <w:uiPriority w:val="59"/>
    <w:rsid w:val="006A1B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A37CB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C622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411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1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27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72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127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568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79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4313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sharepoint.nexus.ox.ac.uk/sites/uasmosaic/finance/Documents/191018%20Tender%20Exemption%20Request%20Form%20v6.0.docx?Web=1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sharepoint.nexus.ox.ac.uk/sites/uasmosaic/finance/Documents/191018%20Tender%20Exemption%20Request%20Form%20v6.0.docx?Web=1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sharepoint.nexus.ox.ac.uk/sites/uasmosaic/finance/Documents/200715%20Tender%20Exemption%20Request%20Form%20v7.0.docx?Web=1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admin.ox.ac.uk/councilsec/compliance/conflictofinterest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EC0DC038D1064A947DE497E344C794" ma:contentTypeVersion="0" ma:contentTypeDescription="Create a new document." ma:contentTypeScope="" ma:versionID="3195d8e8e49d96cd04d5211e225654d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AAB48F-62E9-4B95-9015-0BEC064093A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9E2515A-9B00-4770-B37D-6579BA9D0D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02717AF-AE41-497E-B9A5-D90F059794E4}">
  <ds:schemaRefs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77722F7D-5870-447B-A88F-1EA653BE67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954</Words>
  <Characters>5440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Tender Exemption Guidance Notes</vt:lpstr>
    </vt:vector>
  </TitlesOfParts>
  <Company>University of Oxford</Company>
  <LinksUpToDate>false</LinksUpToDate>
  <CharactersWithSpaces>6382</CharactersWithSpaces>
  <SharedDoc>false</SharedDoc>
  <HLinks>
    <vt:vector size="6" baseType="variant">
      <vt:variant>
        <vt:i4>5439599</vt:i4>
      </vt:variant>
      <vt:variant>
        <vt:i4>-1</vt:i4>
      </vt:variant>
      <vt:variant>
        <vt:i4>1026</vt:i4>
      </vt:variant>
      <vt:variant>
        <vt:i4>1</vt:i4>
      </vt:variant>
      <vt:variant>
        <vt:lpwstr>H:\istock photo downloads\iStock_000004639625XSmall.jpg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Tender Exemption Guidance Notes</dc:title>
  <dc:creator>mjhb</dc:creator>
  <cp:lastModifiedBy>Carole Kelly</cp:lastModifiedBy>
  <cp:revision>2</cp:revision>
  <cp:lastPrinted>2019-12-06T13:17:00Z</cp:lastPrinted>
  <dcterms:created xsi:type="dcterms:W3CDTF">2020-11-11T16:55:00Z</dcterms:created>
  <dcterms:modified xsi:type="dcterms:W3CDTF">2020-11-11T16:55:00Z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0x01010088EC0DC038D1064A947DE497E344C794</vt:lpwstr>
  </property>
</Properties>
</file>